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C25A" w14:textId="77777777" w:rsidR="00F66ADA" w:rsidRPr="00684623" w:rsidRDefault="00F66ADA"/>
    <w:tbl>
      <w:tblPr>
        <w:tblStyle w:val="TableGrid"/>
        <w:tblW w:w="8640" w:type="dxa"/>
        <w:tblInd w:w="108" w:type="dxa"/>
        <w:tblLayout w:type="fixed"/>
        <w:tblLook w:val="01E0" w:firstRow="1" w:lastRow="1" w:firstColumn="1" w:lastColumn="1" w:noHBand="0" w:noVBand="0"/>
      </w:tblPr>
      <w:tblGrid>
        <w:gridCol w:w="8640"/>
      </w:tblGrid>
      <w:tr w:rsidR="00F66ADA" w:rsidRPr="00684623" w14:paraId="20E161AC" w14:textId="77777777" w:rsidTr="008D285F">
        <w:tc>
          <w:tcPr>
            <w:tcW w:w="8640" w:type="dxa"/>
            <w:tcBorders>
              <w:bottom w:val="single" w:sz="4" w:space="0" w:color="auto"/>
            </w:tcBorders>
            <w:shd w:val="clear" w:color="auto" w:fill="F2F2F2" w:themeFill="background1" w:themeFillShade="F2"/>
          </w:tcPr>
          <w:p w14:paraId="0D03E093" w14:textId="2C758805" w:rsidR="00F66ADA" w:rsidRPr="00C91381" w:rsidRDefault="00C91381" w:rsidP="00706DED">
            <w:pPr>
              <w:jc w:val="both"/>
              <w:rPr>
                <w:rFonts w:ascii="Arial" w:hAnsi="Arial" w:cs="Arial"/>
                <w:bCs/>
                <w:i/>
                <w:iCs/>
                <w:sz w:val="22"/>
                <w:szCs w:val="22"/>
              </w:rPr>
            </w:pPr>
            <w:r w:rsidRPr="00C91381">
              <w:rPr>
                <w:rFonts w:ascii="Arial" w:hAnsi="Arial" w:cs="Arial"/>
                <w:bCs/>
                <w:i/>
                <w:iCs/>
                <w:sz w:val="22"/>
                <w:szCs w:val="22"/>
              </w:rPr>
              <w:t>Panel</w:t>
            </w:r>
          </w:p>
          <w:p w14:paraId="68CB0DC3" w14:textId="77777777" w:rsidR="00F66ADA" w:rsidRPr="00C91381" w:rsidRDefault="00F66ADA" w:rsidP="00AA1C53">
            <w:pPr>
              <w:jc w:val="both"/>
              <w:rPr>
                <w:rFonts w:ascii="Arial" w:hAnsi="Arial" w:cs="Arial"/>
                <w:b/>
                <w:bCs/>
                <w:sz w:val="22"/>
                <w:szCs w:val="22"/>
              </w:rPr>
            </w:pPr>
            <w:r w:rsidRPr="00C91381">
              <w:rPr>
                <w:rFonts w:ascii="Arial" w:hAnsi="Arial" w:cs="Arial"/>
                <w:b/>
                <w:bCs/>
                <w:sz w:val="22"/>
                <w:szCs w:val="22"/>
              </w:rPr>
              <w:t>Managing changing flood hazard and risk in Aotearoa-New Zealand under climatic change– balancing consistency and flexibility for improved decision-making and greater resilience.</w:t>
            </w:r>
          </w:p>
          <w:p w14:paraId="50DBF20B" w14:textId="77777777" w:rsidR="00F66ADA" w:rsidRPr="00684623" w:rsidRDefault="00F66ADA" w:rsidP="00BE0B4D">
            <w:pPr>
              <w:jc w:val="both"/>
              <w:rPr>
                <w:rFonts w:ascii="Arial" w:hAnsi="Arial" w:cs="Arial"/>
                <w:bCs/>
                <w:sz w:val="22"/>
                <w:szCs w:val="22"/>
              </w:rPr>
            </w:pPr>
          </w:p>
        </w:tc>
      </w:tr>
      <w:tr w:rsidR="00F66ADA" w:rsidRPr="00684623" w14:paraId="6A11190C" w14:textId="77777777" w:rsidTr="009F4EA0">
        <w:trPr>
          <w:trHeight w:val="2016"/>
        </w:trPr>
        <w:tc>
          <w:tcPr>
            <w:tcW w:w="8640" w:type="dxa"/>
          </w:tcPr>
          <w:p w14:paraId="42A28DD1" w14:textId="77777777" w:rsidR="00F66ADA" w:rsidRPr="00684623" w:rsidRDefault="00F66ADA" w:rsidP="0068043B">
            <w:pPr>
              <w:jc w:val="both"/>
              <w:rPr>
                <w:rFonts w:ascii="Arial" w:hAnsi="Arial" w:cs="Arial"/>
                <w:bCs/>
                <w:sz w:val="22"/>
                <w:szCs w:val="22"/>
              </w:rPr>
            </w:pPr>
          </w:p>
          <w:p w14:paraId="712756AD" w14:textId="77777777" w:rsidR="00F66ADA" w:rsidRPr="002316D2" w:rsidRDefault="00F66ADA" w:rsidP="008D285F">
            <w:pPr>
              <w:rPr>
                <w:rFonts w:asciiTheme="minorHAnsi" w:hAnsiTheme="minorHAnsi" w:cstheme="minorHAnsi"/>
                <w:b/>
                <w:bCs/>
                <w:sz w:val="22"/>
                <w:szCs w:val="22"/>
              </w:rPr>
            </w:pPr>
            <w:r w:rsidRPr="002316D2">
              <w:rPr>
                <w:rFonts w:asciiTheme="minorHAnsi" w:hAnsiTheme="minorHAnsi" w:cstheme="minorHAnsi"/>
                <w:b/>
                <w:bCs/>
                <w:sz w:val="22"/>
                <w:szCs w:val="22"/>
              </w:rPr>
              <w:t>Introduction</w:t>
            </w:r>
          </w:p>
          <w:p w14:paraId="0D3528A8"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Similar to many other countries, flooding is one of Aotearoa-New Zealand’s (herein referred to as Aotearoa) most frequent natural hazards </w:t>
            </w:r>
            <w:r>
              <w:rPr>
                <w:rFonts w:asciiTheme="minorHAnsi" w:hAnsiTheme="minorHAnsi" w:cstheme="minorHAnsi"/>
                <w:noProof/>
                <w:sz w:val="22"/>
                <w:szCs w:val="22"/>
              </w:rPr>
              <w:t>(Mason et al., 2021)</w:t>
            </w:r>
            <w:r w:rsidRPr="002316D2">
              <w:rPr>
                <w:rFonts w:asciiTheme="minorHAnsi" w:hAnsiTheme="minorHAnsi" w:cstheme="minorHAnsi"/>
                <w:sz w:val="22"/>
                <w:szCs w:val="22"/>
              </w:rPr>
              <w:t xml:space="preserve">. While flooding is partially a natural phenomenon, climate change is increasing precipitation extremes in many locations and poor flood risk management practices can further exacerbate the problem. Effective flood governance plays a critical role because it establishes the frameworks for multiple decisions, such as the need for flood risk assessments, the nature and dissemination of data gathered, and the consideration of social, cultural, economic and ecological impacts </w:t>
            </w:r>
            <w:r>
              <w:rPr>
                <w:rFonts w:asciiTheme="minorHAnsi" w:hAnsiTheme="minorHAnsi" w:cstheme="minorHAnsi"/>
                <w:noProof/>
                <w:sz w:val="22"/>
                <w:szCs w:val="22"/>
              </w:rPr>
              <w:t>(Plummer et al., 2018)</w:t>
            </w:r>
            <w:r w:rsidRPr="002316D2">
              <w:rPr>
                <w:rFonts w:asciiTheme="minorHAnsi" w:hAnsiTheme="minorHAnsi" w:cstheme="minorHAnsi"/>
                <w:sz w:val="22"/>
                <w:szCs w:val="22"/>
              </w:rPr>
              <w:t xml:space="preserve">. This topic is important because it is estimated that two-thirds of Aotearoa’s population live in flood prone areas </w:t>
            </w:r>
            <w:r>
              <w:rPr>
                <w:rFonts w:asciiTheme="minorHAnsi" w:hAnsiTheme="minorHAnsi" w:cstheme="minorHAnsi"/>
                <w:noProof/>
                <w:sz w:val="22"/>
                <w:szCs w:val="22"/>
              </w:rPr>
              <w:t>(Royal Society of New Zealand, 2016)</w:t>
            </w:r>
            <w:r w:rsidRPr="002316D2">
              <w:rPr>
                <w:rFonts w:asciiTheme="minorHAnsi" w:hAnsiTheme="minorHAnsi" w:cstheme="minorHAnsi"/>
                <w:sz w:val="22"/>
                <w:szCs w:val="22"/>
              </w:rPr>
              <w:t xml:space="preserve">. During the 2020–2022 period alone, damages from floods generated over NZ$500 million in insurance claims </w:t>
            </w:r>
            <w:r>
              <w:rPr>
                <w:rFonts w:asciiTheme="minorHAnsi" w:hAnsiTheme="minorHAnsi" w:cstheme="minorHAnsi"/>
                <w:noProof/>
                <w:sz w:val="22"/>
                <w:szCs w:val="22"/>
              </w:rPr>
              <w:t>(Insurance Council of New Zealand (ICNZ), 2022)</w:t>
            </w:r>
            <w:r w:rsidRPr="002316D2">
              <w:rPr>
                <w:rFonts w:asciiTheme="minorHAnsi" w:hAnsiTheme="minorHAnsi" w:cstheme="minorHAnsi"/>
                <w:sz w:val="22"/>
                <w:szCs w:val="22"/>
              </w:rPr>
              <w:t xml:space="preserve">, and there are many indirect (cascading) and intangible impacts that are difficult to quantify, including the potential withdrawal of future investment in affected areas and the immediate and long-term impact on people’s health and wellbeing </w:t>
            </w:r>
            <w:r>
              <w:rPr>
                <w:rFonts w:asciiTheme="minorHAnsi" w:hAnsiTheme="minorHAnsi" w:cstheme="minorHAnsi"/>
                <w:noProof/>
                <w:sz w:val="22"/>
                <w:szCs w:val="22"/>
              </w:rPr>
              <w:t>(Lawrence et al., 2020; Smith et al., 2011)</w:t>
            </w:r>
            <w:r w:rsidRPr="002316D2">
              <w:rPr>
                <w:rFonts w:asciiTheme="minorHAnsi" w:hAnsiTheme="minorHAnsi" w:cstheme="minorHAnsi"/>
                <w:sz w:val="22"/>
                <w:szCs w:val="22"/>
              </w:rPr>
              <w:t>.</w:t>
            </w:r>
          </w:p>
          <w:p w14:paraId="4B65679C" w14:textId="77777777" w:rsidR="00F66ADA" w:rsidRPr="002316D2" w:rsidRDefault="00F66ADA" w:rsidP="008D285F">
            <w:pPr>
              <w:rPr>
                <w:rFonts w:asciiTheme="minorHAnsi" w:hAnsiTheme="minorHAnsi" w:cstheme="minorHAnsi"/>
                <w:sz w:val="22"/>
                <w:szCs w:val="22"/>
              </w:rPr>
            </w:pPr>
          </w:p>
          <w:p w14:paraId="0C449674"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Recent literature on flood governance </w:t>
            </w:r>
            <w:r>
              <w:rPr>
                <w:rFonts w:asciiTheme="minorHAnsi" w:hAnsiTheme="minorHAnsi" w:cstheme="minorHAnsi"/>
                <w:noProof/>
                <w:sz w:val="22"/>
                <w:szCs w:val="22"/>
              </w:rPr>
              <w:t>(Bottazzi et al., 2019; Plummer et al., 2018; Wiering et al., 2018)</w:t>
            </w:r>
            <w:r>
              <w:rPr>
                <w:rFonts w:asciiTheme="minorHAnsi" w:hAnsiTheme="minorHAnsi" w:cstheme="minorHAnsi"/>
                <w:sz w:val="22"/>
                <w:szCs w:val="22"/>
              </w:rPr>
              <w:t xml:space="preserve"> </w:t>
            </w:r>
            <w:r w:rsidRPr="002316D2">
              <w:rPr>
                <w:rFonts w:asciiTheme="minorHAnsi" w:hAnsiTheme="minorHAnsi" w:cstheme="minorHAnsi"/>
                <w:sz w:val="22"/>
                <w:szCs w:val="22"/>
              </w:rPr>
              <w:t xml:space="preserve">identifies flooding as a complex, multi-layered issue that requires multi-level collaboration as well as an adaptive approach that enables dynamic responses. A multi-level governance regime is predicated on the principle of partnership and emphasises the need for high levels of policy cohesion between national, regional and local levels whilst acknowledging the complex relations that unfold over different territories and scales </w:t>
            </w:r>
            <w:r>
              <w:rPr>
                <w:rFonts w:asciiTheme="minorHAnsi" w:hAnsiTheme="minorHAnsi" w:cstheme="minorHAnsi"/>
                <w:noProof/>
                <w:sz w:val="22"/>
                <w:szCs w:val="22"/>
              </w:rPr>
              <w:t>(Bache, 2012)</w:t>
            </w:r>
            <w:r w:rsidRPr="002316D2">
              <w:rPr>
                <w:rFonts w:asciiTheme="minorHAnsi" w:hAnsiTheme="minorHAnsi" w:cstheme="minorHAnsi"/>
                <w:sz w:val="22"/>
                <w:szCs w:val="22"/>
              </w:rPr>
              <w:t xml:space="preserve">. In the flood governance context, this means a departure from traditional approaches focused on protecting communities through hard engineering structures to incorporating a wider variety of diverse non-structural measures and seeking collaboration and integration among government levels and social actors </w:t>
            </w:r>
            <w:r>
              <w:rPr>
                <w:rFonts w:asciiTheme="minorHAnsi" w:hAnsiTheme="minorHAnsi" w:cstheme="minorHAnsi"/>
                <w:noProof/>
                <w:sz w:val="22"/>
                <w:szCs w:val="22"/>
              </w:rPr>
              <w:t>(Bottazzi et al., 2019; Plummer et al., 2018; Winter &amp; Karvonen, 2022)</w:t>
            </w:r>
            <w:r w:rsidRPr="002316D2">
              <w:rPr>
                <w:rFonts w:asciiTheme="minorHAnsi" w:hAnsiTheme="minorHAnsi" w:cstheme="minorHAnsi"/>
                <w:sz w:val="22"/>
                <w:szCs w:val="22"/>
              </w:rPr>
              <w:t xml:space="preserve">. </w:t>
            </w:r>
          </w:p>
          <w:p w14:paraId="3E4C9E42" w14:textId="77777777" w:rsidR="00F66ADA" w:rsidRPr="002316D2" w:rsidRDefault="00F66ADA" w:rsidP="008D285F">
            <w:pPr>
              <w:rPr>
                <w:rFonts w:asciiTheme="minorHAnsi" w:hAnsiTheme="minorHAnsi" w:cstheme="minorHAnsi"/>
                <w:sz w:val="22"/>
                <w:szCs w:val="22"/>
              </w:rPr>
            </w:pPr>
          </w:p>
          <w:p w14:paraId="1C6013B5"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Flood risk management across Aotearoa varies considerably across regions, and currently there is no consistency as to whether and how flood risk is determined now and into the future </w:t>
            </w:r>
            <w:r>
              <w:rPr>
                <w:rFonts w:asciiTheme="minorHAnsi" w:hAnsiTheme="minorHAnsi" w:cstheme="minorHAnsi"/>
                <w:noProof/>
                <w:sz w:val="22"/>
                <w:szCs w:val="22"/>
              </w:rPr>
              <w:t>(Paulik et al., 2019; Rouse, 2012; Tonkin + Taylor Limited, 2018)</w:t>
            </w:r>
            <w:r w:rsidRPr="002316D2">
              <w:rPr>
                <w:rFonts w:asciiTheme="minorHAnsi" w:hAnsiTheme="minorHAnsi" w:cstheme="minorHAnsi"/>
                <w:sz w:val="22"/>
                <w:szCs w:val="22"/>
              </w:rPr>
              <w:t xml:space="preserve">. Further, local and regional governments vary significantly in their capacity to manage and mitigate hazard risks </w:t>
            </w:r>
            <w:r>
              <w:rPr>
                <w:rFonts w:asciiTheme="minorHAnsi" w:hAnsiTheme="minorHAnsi" w:cstheme="minorHAnsi"/>
                <w:noProof/>
                <w:sz w:val="22"/>
                <w:szCs w:val="22"/>
              </w:rPr>
              <w:t>(Reisinger et al., 2011)</w:t>
            </w:r>
            <w:r w:rsidRPr="002316D2">
              <w:rPr>
                <w:rFonts w:asciiTheme="minorHAnsi" w:hAnsiTheme="minorHAnsi" w:cstheme="minorHAnsi"/>
                <w:sz w:val="22"/>
                <w:szCs w:val="22"/>
              </w:rPr>
              <w:t>. This leads to a lack of consistency in data availability and accessibility and modelling approaches (e.g.</w:t>
            </w:r>
            <w:r>
              <w:rPr>
                <w:rFonts w:asciiTheme="minorHAnsi" w:hAnsiTheme="minorHAnsi" w:cstheme="minorHAnsi"/>
                <w:sz w:val="22"/>
                <w:szCs w:val="22"/>
              </w:rPr>
              <w:t>,</w:t>
            </w:r>
            <w:r w:rsidRPr="002316D2">
              <w:rPr>
                <w:rFonts w:asciiTheme="minorHAnsi" w:hAnsiTheme="minorHAnsi" w:cstheme="minorHAnsi"/>
                <w:sz w:val="22"/>
                <w:szCs w:val="22"/>
              </w:rPr>
              <w:t xml:space="preserve"> AEP modelled, flood modelling methodology, climate change methodology) impeding the integration of regional and local flood risk information and thus the generation of a consistent national level assessment. The Ministry for the Environment </w:t>
            </w:r>
            <w:r>
              <w:rPr>
                <w:rFonts w:asciiTheme="minorHAnsi" w:hAnsiTheme="minorHAnsi" w:cstheme="minorHAnsi"/>
                <w:noProof/>
                <w:sz w:val="22"/>
                <w:szCs w:val="22"/>
              </w:rPr>
              <w:t>(2020)</w:t>
            </w:r>
            <w:r>
              <w:rPr>
                <w:rFonts w:asciiTheme="minorHAnsi" w:hAnsiTheme="minorHAnsi" w:cstheme="minorHAnsi"/>
                <w:sz w:val="22"/>
                <w:szCs w:val="22"/>
              </w:rPr>
              <w:t xml:space="preserve"> </w:t>
            </w:r>
            <w:r w:rsidRPr="002316D2">
              <w:rPr>
                <w:rFonts w:asciiTheme="minorHAnsi" w:hAnsiTheme="minorHAnsi" w:cstheme="minorHAnsi"/>
                <w:sz w:val="22"/>
                <w:szCs w:val="22"/>
              </w:rPr>
              <w:t xml:space="preserve">concluded that “the devolution of climate change adaptation responsibility to the local level, together with the lack of guidance for responding to flooding and other climate change hazards, is leading councils to address climate change separately and differently from each other Under this arrangement, councils are exposed to legal liability for both adaptation action and inaction.” (p. 183).  Irrespective of the variable approaches used by local and regional governments to assess and manage flood risk, the outputs from analysis which are used for decision-making contain uncertainty </w:t>
            </w:r>
            <w:r>
              <w:rPr>
                <w:rFonts w:asciiTheme="minorHAnsi" w:hAnsiTheme="minorHAnsi" w:cstheme="minorHAnsi"/>
                <w:noProof/>
                <w:sz w:val="22"/>
                <w:szCs w:val="22"/>
              </w:rPr>
              <w:t xml:space="preserve">(Quigley et al., 2019; Steinschneider et al., </w:t>
            </w:r>
            <w:r>
              <w:rPr>
                <w:rFonts w:asciiTheme="minorHAnsi" w:hAnsiTheme="minorHAnsi" w:cstheme="minorHAnsi"/>
                <w:noProof/>
                <w:sz w:val="22"/>
                <w:szCs w:val="22"/>
              </w:rPr>
              <w:lastRenderedPageBreak/>
              <w:t>2015)</w:t>
            </w:r>
            <w:r w:rsidRPr="002316D2">
              <w:rPr>
                <w:rFonts w:asciiTheme="minorHAnsi" w:hAnsiTheme="minorHAnsi" w:cstheme="minorHAnsi"/>
                <w:sz w:val="22"/>
                <w:szCs w:val="22"/>
              </w:rPr>
              <w:t xml:space="preserve">. Uncertainty is not often quantified nor characterised, yet it can make the process more challenging and less reliable </w:t>
            </w:r>
            <w:r>
              <w:rPr>
                <w:rFonts w:asciiTheme="minorHAnsi" w:hAnsiTheme="minorHAnsi" w:cstheme="minorHAnsi"/>
                <w:noProof/>
                <w:sz w:val="22"/>
                <w:szCs w:val="22"/>
              </w:rPr>
              <w:t>(Anderson et al., 2022; Steinschneider et al., 2015)</w:t>
            </w:r>
            <w:r w:rsidRPr="002316D2">
              <w:rPr>
                <w:rFonts w:asciiTheme="minorHAnsi" w:hAnsiTheme="minorHAnsi" w:cstheme="minorHAnsi"/>
                <w:sz w:val="22"/>
                <w:szCs w:val="22"/>
              </w:rPr>
              <w:t xml:space="preserve">. Uncertainty is present to a variable yet unknown degree across all stages of flood hazard planning, especially when the potential impacts of climate change on the flood hazard are included </w:t>
            </w:r>
            <w:r>
              <w:rPr>
                <w:rFonts w:asciiTheme="minorHAnsi" w:hAnsiTheme="minorHAnsi" w:cstheme="minorHAnsi"/>
                <w:noProof/>
                <w:sz w:val="22"/>
                <w:szCs w:val="22"/>
              </w:rPr>
              <w:t>(Meresa et al., 2023)</w:t>
            </w:r>
            <w:r w:rsidRPr="002316D2">
              <w:rPr>
                <w:rFonts w:asciiTheme="minorHAnsi" w:hAnsiTheme="minorHAnsi" w:cstheme="minorHAnsi"/>
                <w:sz w:val="22"/>
                <w:szCs w:val="22"/>
              </w:rPr>
              <w:t xml:space="preserve"> and has implications for the determination of flood hazard zones or design of mitigation measures. </w:t>
            </w:r>
          </w:p>
          <w:p w14:paraId="2CE0D667" w14:textId="77777777" w:rsidR="00F66ADA" w:rsidRPr="002316D2" w:rsidRDefault="00F66ADA" w:rsidP="008D285F">
            <w:pPr>
              <w:rPr>
                <w:rFonts w:asciiTheme="minorHAnsi" w:hAnsiTheme="minorHAnsi" w:cstheme="minorHAnsi"/>
                <w:sz w:val="22"/>
                <w:szCs w:val="22"/>
              </w:rPr>
            </w:pPr>
          </w:p>
          <w:p w14:paraId="488E0A7B"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This Panel aims to contribute to discourse on flood governance to best manage changing flood risks in Aotearoa drawing from perspectives at both national and regional/local scales, collected as part of the 5-year </w:t>
            </w:r>
            <w:proofErr w:type="spellStart"/>
            <w:r w:rsidRPr="002316D2">
              <w:rPr>
                <w:rFonts w:asciiTheme="minorHAnsi" w:hAnsiTheme="minorHAnsi" w:cstheme="minorHAnsi"/>
                <w:sz w:val="22"/>
                <w:szCs w:val="22"/>
              </w:rPr>
              <w:t>Mā</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te</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haumaru</w:t>
            </w:r>
            <w:proofErr w:type="spellEnd"/>
            <w:r w:rsidRPr="002316D2">
              <w:rPr>
                <w:rFonts w:asciiTheme="minorHAnsi" w:hAnsiTheme="minorHAnsi" w:cstheme="minorHAnsi"/>
                <w:sz w:val="22"/>
                <w:szCs w:val="22"/>
              </w:rPr>
              <w:t xml:space="preserve"> ō </w:t>
            </w:r>
            <w:proofErr w:type="spellStart"/>
            <w:r w:rsidRPr="002316D2">
              <w:rPr>
                <w:rFonts w:asciiTheme="minorHAnsi" w:hAnsiTheme="minorHAnsi" w:cstheme="minorHAnsi"/>
                <w:sz w:val="22"/>
                <w:szCs w:val="22"/>
              </w:rPr>
              <w:t>nga</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puna</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wai</w:t>
            </w:r>
            <w:proofErr w:type="spellEnd"/>
            <w:r w:rsidRPr="002316D2">
              <w:rPr>
                <w:rFonts w:asciiTheme="minorHAnsi" w:hAnsiTheme="minorHAnsi" w:cstheme="minorHAnsi"/>
                <w:sz w:val="22"/>
                <w:szCs w:val="22"/>
              </w:rPr>
              <w:t xml:space="preserve"> ō </w:t>
            </w:r>
            <w:proofErr w:type="spellStart"/>
            <w:r w:rsidRPr="002316D2">
              <w:rPr>
                <w:rFonts w:asciiTheme="minorHAnsi" w:hAnsiTheme="minorHAnsi" w:cstheme="minorHAnsi"/>
                <w:sz w:val="22"/>
                <w:szCs w:val="22"/>
              </w:rPr>
              <w:t>Rākaihautū</w:t>
            </w:r>
            <w:proofErr w:type="spellEnd"/>
            <w:r w:rsidRPr="002316D2">
              <w:rPr>
                <w:rFonts w:asciiTheme="minorHAnsi" w:hAnsiTheme="minorHAnsi" w:cstheme="minorHAnsi"/>
                <w:sz w:val="22"/>
                <w:szCs w:val="22"/>
              </w:rPr>
              <w:t xml:space="preserve"> ka </w:t>
            </w:r>
            <w:proofErr w:type="spellStart"/>
            <w:r w:rsidRPr="002316D2">
              <w:rPr>
                <w:rFonts w:asciiTheme="minorHAnsi" w:hAnsiTheme="minorHAnsi" w:cstheme="minorHAnsi"/>
                <w:sz w:val="22"/>
                <w:szCs w:val="22"/>
              </w:rPr>
              <w:t>ora</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mo</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ake</w:t>
            </w:r>
            <w:proofErr w:type="spellEnd"/>
            <w:r w:rsidRPr="002316D2">
              <w:rPr>
                <w:rFonts w:asciiTheme="minorHAnsi" w:hAnsiTheme="minorHAnsi" w:cstheme="minorHAnsi"/>
                <w:sz w:val="22"/>
                <w:szCs w:val="22"/>
              </w:rPr>
              <w:t xml:space="preserve"> </w:t>
            </w:r>
            <w:proofErr w:type="spellStart"/>
            <w:r w:rsidRPr="002316D2">
              <w:rPr>
                <w:rFonts w:asciiTheme="minorHAnsi" w:hAnsiTheme="minorHAnsi" w:cstheme="minorHAnsi"/>
                <w:sz w:val="22"/>
                <w:szCs w:val="22"/>
              </w:rPr>
              <w:t>tonu</w:t>
            </w:r>
            <w:proofErr w:type="spellEnd"/>
            <w:r w:rsidRPr="002316D2">
              <w:rPr>
                <w:rFonts w:asciiTheme="minorHAnsi" w:hAnsiTheme="minorHAnsi" w:cstheme="minorHAnsi"/>
                <w:sz w:val="22"/>
                <w:szCs w:val="22"/>
              </w:rPr>
              <w:t>: Increasing flood resilience across Aotearoa programme, which commenced in October 2020.</w:t>
            </w:r>
          </w:p>
          <w:p w14:paraId="0C34DB17" w14:textId="77777777" w:rsidR="00F66ADA" w:rsidRPr="002316D2" w:rsidRDefault="00F66ADA" w:rsidP="008D285F">
            <w:pPr>
              <w:rPr>
                <w:rFonts w:asciiTheme="minorHAnsi" w:hAnsiTheme="minorHAnsi" w:cstheme="minorHAnsi"/>
                <w:sz w:val="22"/>
                <w:szCs w:val="22"/>
              </w:rPr>
            </w:pPr>
          </w:p>
          <w:p w14:paraId="62C5C2FE" w14:textId="77777777" w:rsidR="00F66ADA" w:rsidRPr="002316D2" w:rsidRDefault="00F66ADA" w:rsidP="008D285F">
            <w:pPr>
              <w:rPr>
                <w:rFonts w:asciiTheme="minorHAnsi" w:hAnsiTheme="minorHAnsi" w:cstheme="minorHAnsi"/>
                <w:b/>
                <w:bCs/>
                <w:sz w:val="22"/>
                <w:szCs w:val="22"/>
              </w:rPr>
            </w:pPr>
            <w:r w:rsidRPr="002316D2">
              <w:rPr>
                <w:rFonts w:asciiTheme="minorHAnsi" w:hAnsiTheme="minorHAnsi" w:cstheme="minorHAnsi"/>
                <w:b/>
                <w:bCs/>
                <w:sz w:val="22"/>
                <w:szCs w:val="22"/>
              </w:rPr>
              <w:t>Objective/purpose</w:t>
            </w:r>
          </w:p>
          <w:p w14:paraId="57D6689B"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The presentations and discussion in this Panel will:</w:t>
            </w:r>
          </w:p>
          <w:p w14:paraId="5777F672" w14:textId="77777777" w:rsidR="00F66ADA" w:rsidRPr="002316D2" w:rsidRDefault="00F66ADA" w:rsidP="008D285F">
            <w:pPr>
              <w:pStyle w:val="ListParagraph"/>
              <w:numPr>
                <w:ilvl w:val="0"/>
                <w:numId w:val="15"/>
              </w:numPr>
              <w:spacing w:line="278" w:lineRule="auto"/>
              <w:rPr>
                <w:rFonts w:asciiTheme="minorHAnsi" w:hAnsiTheme="minorHAnsi" w:cstheme="minorHAnsi"/>
                <w:sz w:val="22"/>
                <w:szCs w:val="22"/>
              </w:rPr>
            </w:pPr>
            <w:r w:rsidRPr="002316D2">
              <w:rPr>
                <w:rFonts w:asciiTheme="minorHAnsi" w:hAnsiTheme="minorHAnsi" w:cstheme="minorHAnsi"/>
                <w:sz w:val="22"/>
                <w:szCs w:val="22"/>
              </w:rPr>
              <w:t>Identify the components of a fit</w:t>
            </w:r>
            <w:r>
              <w:rPr>
                <w:rFonts w:asciiTheme="minorHAnsi" w:hAnsiTheme="minorHAnsi" w:cstheme="minorHAnsi"/>
                <w:sz w:val="22"/>
                <w:szCs w:val="22"/>
              </w:rPr>
              <w:t>-</w:t>
            </w:r>
            <w:r w:rsidRPr="002316D2">
              <w:rPr>
                <w:rFonts w:asciiTheme="minorHAnsi" w:hAnsiTheme="minorHAnsi" w:cstheme="minorHAnsi"/>
                <w:sz w:val="22"/>
                <w:szCs w:val="22"/>
              </w:rPr>
              <w:t>for</w:t>
            </w:r>
            <w:r>
              <w:rPr>
                <w:rFonts w:asciiTheme="minorHAnsi" w:hAnsiTheme="minorHAnsi" w:cstheme="minorHAnsi"/>
                <w:sz w:val="22"/>
                <w:szCs w:val="22"/>
              </w:rPr>
              <w:t>-</w:t>
            </w:r>
            <w:r w:rsidRPr="002316D2">
              <w:rPr>
                <w:rFonts w:asciiTheme="minorHAnsi" w:hAnsiTheme="minorHAnsi" w:cstheme="minorHAnsi"/>
                <w:sz w:val="22"/>
                <w:szCs w:val="22"/>
              </w:rPr>
              <w:t>purpose flood governance system that delivers national consistency (equity) whilst enabling planning and response actions that take into account local knowledge and aspirations.</w:t>
            </w:r>
          </w:p>
          <w:p w14:paraId="30366216" w14:textId="77777777" w:rsidR="00F66ADA" w:rsidRPr="002316D2" w:rsidRDefault="00F66ADA" w:rsidP="008D285F">
            <w:pPr>
              <w:pStyle w:val="ListParagraph"/>
              <w:numPr>
                <w:ilvl w:val="0"/>
                <w:numId w:val="15"/>
              </w:numPr>
              <w:spacing w:line="278" w:lineRule="auto"/>
              <w:rPr>
                <w:rFonts w:asciiTheme="minorHAnsi" w:hAnsiTheme="minorHAnsi" w:cstheme="minorHAnsi"/>
                <w:sz w:val="22"/>
                <w:szCs w:val="22"/>
              </w:rPr>
            </w:pPr>
            <w:r w:rsidRPr="002316D2">
              <w:rPr>
                <w:rFonts w:asciiTheme="minorHAnsi" w:hAnsiTheme="minorHAnsi" w:cstheme="minorHAnsi"/>
                <w:sz w:val="22"/>
                <w:szCs w:val="22"/>
              </w:rPr>
              <w:t xml:space="preserve">Recognise the value of </w:t>
            </w:r>
            <w:proofErr w:type="spellStart"/>
            <w:r w:rsidRPr="002316D2">
              <w:rPr>
                <w:rFonts w:asciiTheme="minorHAnsi" w:hAnsiTheme="minorHAnsi" w:cstheme="minorHAnsi"/>
                <w:sz w:val="22"/>
                <w:szCs w:val="22"/>
              </w:rPr>
              <w:t>mātauranga</w:t>
            </w:r>
            <w:proofErr w:type="spellEnd"/>
            <w:r w:rsidRPr="002316D2">
              <w:rPr>
                <w:rFonts w:asciiTheme="minorHAnsi" w:hAnsiTheme="minorHAnsi" w:cstheme="minorHAnsi"/>
                <w:sz w:val="22"/>
                <w:szCs w:val="22"/>
              </w:rPr>
              <w:t xml:space="preserve"> Māori for understanding and responding to hazard and risk, and for developing local tools that communicate and engage.</w:t>
            </w:r>
          </w:p>
          <w:p w14:paraId="315DA455" w14:textId="77777777" w:rsidR="00F66ADA" w:rsidRPr="002316D2" w:rsidRDefault="00F66ADA" w:rsidP="008D285F">
            <w:pPr>
              <w:pStyle w:val="ListParagraph"/>
              <w:numPr>
                <w:ilvl w:val="0"/>
                <w:numId w:val="15"/>
              </w:numPr>
              <w:spacing w:line="278" w:lineRule="auto"/>
              <w:rPr>
                <w:rFonts w:asciiTheme="minorHAnsi" w:hAnsiTheme="minorHAnsi" w:cstheme="minorHAnsi"/>
                <w:sz w:val="22"/>
                <w:szCs w:val="22"/>
              </w:rPr>
            </w:pPr>
            <w:r w:rsidRPr="002316D2">
              <w:rPr>
                <w:rFonts w:asciiTheme="minorHAnsi" w:hAnsiTheme="minorHAnsi" w:cstheme="minorHAnsi"/>
                <w:sz w:val="22"/>
                <w:szCs w:val="22"/>
              </w:rPr>
              <w:t xml:space="preserve">Investigate how a national-level </w:t>
            </w:r>
            <w:r>
              <w:rPr>
                <w:rFonts w:asciiTheme="minorHAnsi" w:hAnsiTheme="minorHAnsi" w:cstheme="minorHAnsi"/>
                <w:sz w:val="22"/>
                <w:szCs w:val="22"/>
              </w:rPr>
              <w:t>understanding of flood risk</w:t>
            </w:r>
            <w:r w:rsidRPr="002316D2">
              <w:rPr>
                <w:rFonts w:asciiTheme="minorHAnsi" w:hAnsiTheme="minorHAnsi" w:cstheme="minorHAnsi"/>
                <w:sz w:val="22"/>
                <w:szCs w:val="22"/>
              </w:rPr>
              <w:t xml:space="preserve"> can contribute to consistent regulations and policy to </w:t>
            </w:r>
            <w:r>
              <w:rPr>
                <w:rFonts w:asciiTheme="minorHAnsi" w:hAnsiTheme="minorHAnsi" w:cstheme="minorHAnsi"/>
                <w:sz w:val="22"/>
                <w:szCs w:val="22"/>
              </w:rPr>
              <w:t>guide land-use planning and avoid development of at-risk areas</w:t>
            </w:r>
            <w:r w:rsidRPr="002316D2">
              <w:rPr>
                <w:rFonts w:asciiTheme="minorHAnsi" w:hAnsiTheme="minorHAnsi" w:cstheme="minorHAnsi"/>
                <w:sz w:val="22"/>
                <w:szCs w:val="22"/>
              </w:rPr>
              <w:t>.</w:t>
            </w:r>
          </w:p>
          <w:p w14:paraId="70762F83" w14:textId="77777777" w:rsidR="00F66ADA" w:rsidRPr="002316D2" w:rsidRDefault="00F66ADA" w:rsidP="008D285F">
            <w:pPr>
              <w:rPr>
                <w:rFonts w:asciiTheme="minorHAnsi" w:hAnsiTheme="minorHAnsi" w:cstheme="minorHAnsi"/>
                <w:sz w:val="22"/>
                <w:szCs w:val="22"/>
              </w:rPr>
            </w:pPr>
          </w:p>
          <w:p w14:paraId="01099E3E" w14:textId="77777777" w:rsidR="00F66ADA" w:rsidRPr="002316D2" w:rsidRDefault="00F66ADA" w:rsidP="008D285F">
            <w:pPr>
              <w:rPr>
                <w:rFonts w:asciiTheme="minorHAnsi" w:hAnsiTheme="minorHAnsi" w:cstheme="minorHAnsi"/>
                <w:b/>
                <w:bCs/>
                <w:sz w:val="22"/>
                <w:szCs w:val="22"/>
              </w:rPr>
            </w:pPr>
            <w:r w:rsidRPr="002316D2">
              <w:rPr>
                <w:rFonts w:asciiTheme="minorHAnsi" w:hAnsiTheme="minorHAnsi" w:cstheme="minorHAnsi"/>
                <w:b/>
                <w:bCs/>
                <w:sz w:val="22"/>
                <w:szCs w:val="22"/>
              </w:rPr>
              <w:t>Contribution to new knowledge</w:t>
            </w:r>
          </w:p>
          <w:p w14:paraId="6908687E"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Our research with actors involved with flood governance matters across national and local scales has identified two pressing issues that need to be addressed within a multi-level flood governance framework designed to achieve greater policy cohesion and a flood resilient Aotearoa, namely: national consistency and targeted variability. </w:t>
            </w:r>
          </w:p>
          <w:p w14:paraId="029D9DEB"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This Panel contributes </w:t>
            </w:r>
            <w:r>
              <w:rPr>
                <w:rFonts w:asciiTheme="minorHAnsi" w:hAnsiTheme="minorHAnsi" w:cstheme="minorHAnsi"/>
                <w:sz w:val="22"/>
                <w:szCs w:val="22"/>
              </w:rPr>
              <w:t xml:space="preserve">to </w:t>
            </w:r>
            <w:r w:rsidRPr="002316D2">
              <w:rPr>
                <w:rFonts w:asciiTheme="minorHAnsi" w:hAnsiTheme="minorHAnsi" w:cstheme="minorHAnsi"/>
                <w:sz w:val="22"/>
                <w:szCs w:val="22"/>
              </w:rPr>
              <w:t xml:space="preserve">new </w:t>
            </w:r>
            <w:r>
              <w:rPr>
                <w:rFonts w:asciiTheme="minorHAnsi" w:hAnsiTheme="minorHAnsi" w:cstheme="minorHAnsi"/>
                <w:sz w:val="22"/>
                <w:szCs w:val="22"/>
              </w:rPr>
              <w:t>knowledge by</w:t>
            </w:r>
            <w:r w:rsidRPr="002316D2">
              <w:rPr>
                <w:rFonts w:asciiTheme="minorHAnsi" w:hAnsiTheme="minorHAnsi" w:cstheme="minorHAnsi"/>
                <w:sz w:val="22"/>
                <w:szCs w:val="22"/>
              </w:rPr>
              <w:t>:</w:t>
            </w:r>
          </w:p>
          <w:p w14:paraId="73BFEDC6" w14:textId="77777777" w:rsidR="00F66ADA" w:rsidRPr="002316D2" w:rsidRDefault="00F66ADA" w:rsidP="008D285F">
            <w:pPr>
              <w:pStyle w:val="ListParagraph"/>
              <w:numPr>
                <w:ilvl w:val="0"/>
                <w:numId w:val="16"/>
              </w:numPr>
              <w:spacing w:line="278" w:lineRule="auto"/>
              <w:rPr>
                <w:rFonts w:asciiTheme="minorHAnsi" w:hAnsiTheme="minorHAnsi" w:cstheme="minorHAnsi"/>
                <w:sz w:val="22"/>
                <w:szCs w:val="22"/>
              </w:rPr>
            </w:pPr>
            <w:r w:rsidRPr="002316D2">
              <w:rPr>
                <w:rFonts w:asciiTheme="minorHAnsi" w:hAnsiTheme="minorHAnsi" w:cstheme="minorHAnsi"/>
                <w:sz w:val="22"/>
                <w:szCs w:val="22"/>
              </w:rPr>
              <w:t>Demonstrating the functionality of national-level flood hazard and risk models, and how they can be combined with more local-level information where this exists, thus supporting national and local-level decision-making.</w:t>
            </w:r>
          </w:p>
          <w:p w14:paraId="2511C7FC" w14:textId="77777777" w:rsidR="00F66ADA" w:rsidRPr="002316D2" w:rsidRDefault="00F66ADA" w:rsidP="008D285F">
            <w:pPr>
              <w:pStyle w:val="ListParagraph"/>
              <w:numPr>
                <w:ilvl w:val="0"/>
                <w:numId w:val="16"/>
              </w:numPr>
              <w:spacing w:line="278" w:lineRule="auto"/>
              <w:rPr>
                <w:rFonts w:asciiTheme="minorHAnsi" w:hAnsiTheme="minorHAnsi" w:cstheme="minorHAnsi"/>
                <w:sz w:val="22"/>
                <w:szCs w:val="22"/>
              </w:rPr>
            </w:pPr>
            <w:r w:rsidRPr="002316D2">
              <w:rPr>
                <w:rFonts w:asciiTheme="minorHAnsi" w:hAnsiTheme="minorHAnsi" w:cstheme="minorHAnsi"/>
                <w:sz w:val="22"/>
                <w:szCs w:val="22"/>
              </w:rPr>
              <w:t>Sharing a structured framework and methodology that supports hap</w:t>
            </w:r>
            <w:r>
              <w:rPr>
                <w:rFonts w:asciiTheme="minorHAnsi" w:hAnsiTheme="minorHAnsi" w:cstheme="minorHAnsi"/>
                <w:sz w:val="22"/>
                <w:szCs w:val="22"/>
              </w:rPr>
              <w:t>ū</w:t>
            </w:r>
            <w:r w:rsidRPr="002316D2">
              <w:rPr>
                <w:rFonts w:asciiTheme="minorHAnsi" w:hAnsiTheme="minorHAnsi" w:cstheme="minorHAnsi"/>
                <w:sz w:val="22"/>
                <w:szCs w:val="22"/>
              </w:rPr>
              <w:t xml:space="preserve"> Māori to discover and collate perspectives and information that address environmental challenges while preserving cultural heritage and identity, offering a model for resilience that honours both land and people.</w:t>
            </w:r>
          </w:p>
          <w:p w14:paraId="3631CD1D" w14:textId="77777777" w:rsidR="00F66ADA" w:rsidRPr="002316D2" w:rsidRDefault="00F66ADA" w:rsidP="008D285F">
            <w:pPr>
              <w:pStyle w:val="ListParagraph"/>
              <w:numPr>
                <w:ilvl w:val="0"/>
                <w:numId w:val="16"/>
              </w:numPr>
              <w:spacing w:line="278" w:lineRule="auto"/>
              <w:rPr>
                <w:rFonts w:asciiTheme="minorHAnsi" w:hAnsiTheme="minorHAnsi" w:cstheme="minorHAnsi"/>
                <w:sz w:val="22"/>
                <w:szCs w:val="22"/>
              </w:rPr>
            </w:pPr>
            <w:r w:rsidRPr="002316D2">
              <w:rPr>
                <w:rFonts w:asciiTheme="minorHAnsi" w:hAnsiTheme="minorHAnsi" w:cstheme="minorHAnsi"/>
                <w:sz w:val="22"/>
                <w:szCs w:val="22"/>
              </w:rPr>
              <w:t>Sharing examples of how the science can inform policy development at national and local levels.</w:t>
            </w:r>
          </w:p>
          <w:p w14:paraId="2F969EB6" w14:textId="77777777" w:rsidR="00F66ADA" w:rsidRPr="002316D2" w:rsidRDefault="00F66ADA" w:rsidP="002316D2">
            <w:pPr>
              <w:spacing w:line="278" w:lineRule="auto"/>
              <w:ind w:left="360"/>
              <w:rPr>
                <w:rFonts w:eastAsia="Times New Roman" w:cstheme="minorHAnsi"/>
                <w:sz w:val="22"/>
                <w:szCs w:val="22"/>
                <w:lang w:eastAsia="en-NZ"/>
              </w:rPr>
            </w:pPr>
          </w:p>
          <w:p w14:paraId="40538967" w14:textId="77777777" w:rsidR="00F66ADA" w:rsidRPr="00172D26" w:rsidRDefault="00F66ADA" w:rsidP="008D285F">
            <w:pPr>
              <w:rPr>
                <w:rFonts w:asciiTheme="minorHAnsi" w:hAnsiTheme="minorHAnsi" w:cstheme="minorHAnsi"/>
                <w:b/>
                <w:bCs/>
                <w:sz w:val="22"/>
                <w:szCs w:val="22"/>
              </w:rPr>
            </w:pPr>
            <w:r w:rsidRPr="00172D26">
              <w:rPr>
                <w:rFonts w:asciiTheme="minorHAnsi" w:hAnsiTheme="minorHAnsi" w:cstheme="minorHAnsi"/>
                <w:b/>
                <w:bCs/>
                <w:sz w:val="22"/>
                <w:szCs w:val="22"/>
              </w:rPr>
              <w:t xml:space="preserve">Take home message: </w:t>
            </w:r>
          </w:p>
          <w:p w14:paraId="5FCB13BA" w14:textId="77777777" w:rsidR="00F66ADA" w:rsidRPr="002316D2" w:rsidRDefault="00F66ADA" w:rsidP="008D285F">
            <w:pPr>
              <w:rPr>
                <w:rFonts w:asciiTheme="minorHAnsi" w:hAnsiTheme="minorHAnsi" w:cstheme="minorHAnsi"/>
                <w:sz w:val="22"/>
                <w:szCs w:val="22"/>
              </w:rPr>
            </w:pPr>
            <w:r w:rsidRPr="002316D2">
              <w:rPr>
                <w:rFonts w:asciiTheme="minorHAnsi" w:hAnsiTheme="minorHAnsi" w:cstheme="minorHAnsi"/>
                <w:sz w:val="22"/>
                <w:szCs w:val="22"/>
              </w:rPr>
              <w:t xml:space="preserve">Climate change is likely to escalate current challenges – economic losses, environmental damage, social vulnerability issues - this Panel emphasises the imperative to work towards a multi-level flood governance framework that is much more nationally consistent, but while still leaving scope for targeted variability to better manage changing flood risks and thus minimise the harm floods can inflict on our natural and built environments and our communities - especially our most </w:t>
            </w:r>
            <w:r>
              <w:rPr>
                <w:rFonts w:asciiTheme="minorHAnsi" w:hAnsiTheme="minorHAnsi" w:cstheme="minorHAnsi"/>
                <w:sz w:val="22"/>
                <w:szCs w:val="22"/>
              </w:rPr>
              <w:t>exposed communities</w:t>
            </w:r>
            <w:r w:rsidRPr="002316D2">
              <w:rPr>
                <w:rFonts w:asciiTheme="minorHAnsi" w:hAnsiTheme="minorHAnsi" w:cstheme="minorHAnsi"/>
                <w:sz w:val="22"/>
                <w:szCs w:val="22"/>
              </w:rPr>
              <w:t>.</w:t>
            </w:r>
          </w:p>
          <w:p w14:paraId="0CC0A236" w14:textId="77777777" w:rsidR="00F66ADA" w:rsidRPr="002316D2" w:rsidRDefault="00F66ADA" w:rsidP="008D285F">
            <w:pPr>
              <w:rPr>
                <w:rFonts w:asciiTheme="minorHAnsi" w:hAnsiTheme="minorHAnsi" w:cstheme="minorHAnsi"/>
                <w:sz w:val="22"/>
                <w:szCs w:val="22"/>
              </w:rPr>
            </w:pPr>
          </w:p>
          <w:p w14:paraId="551BAAB6" w14:textId="77777777" w:rsidR="00F66ADA" w:rsidRPr="002316D2" w:rsidRDefault="00F66ADA" w:rsidP="008D285F">
            <w:pPr>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 xml:space="preserve">Note on </w:t>
            </w:r>
            <w:r w:rsidRPr="002316D2">
              <w:rPr>
                <w:rStyle w:val="Strong"/>
                <w:rFonts w:asciiTheme="minorHAnsi" w:hAnsiTheme="minorHAnsi" w:cstheme="minorHAnsi"/>
                <w:color w:val="000000" w:themeColor="text1"/>
                <w:sz w:val="22"/>
                <w:szCs w:val="22"/>
              </w:rPr>
              <w:t xml:space="preserve">Te Tuna o </w:t>
            </w:r>
            <w:proofErr w:type="spellStart"/>
            <w:r w:rsidRPr="002316D2">
              <w:rPr>
                <w:rStyle w:val="Strong"/>
                <w:rFonts w:asciiTheme="minorHAnsi" w:hAnsiTheme="minorHAnsi" w:cstheme="minorHAnsi"/>
                <w:color w:val="000000" w:themeColor="text1"/>
                <w:sz w:val="22"/>
                <w:szCs w:val="22"/>
              </w:rPr>
              <w:t>Wairewa</w:t>
            </w:r>
            <w:proofErr w:type="spellEnd"/>
            <w:r w:rsidRPr="002316D2">
              <w:rPr>
                <w:rStyle w:val="Strong"/>
                <w:rFonts w:asciiTheme="minorHAnsi" w:hAnsiTheme="minorHAnsi" w:cstheme="minorHAnsi"/>
                <w:color w:val="000000" w:themeColor="text1"/>
                <w:sz w:val="22"/>
                <w:szCs w:val="22"/>
              </w:rPr>
              <w:t>: A Living Philosophy of Methodology and Framework</w:t>
            </w:r>
          </w:p>
          <w:p w14:paraId="2170F1B1" w14:textId="77777777" w:rsidR="00F66ADA" w:rsidRPr="002316D2" w:rsidRDefault="00F66ADA" w:rsidP="008D285F">
            <w:pPr>
              <w:jc w:val="both"/>
              <w:rPr>
                <w:rFonts w:asciiTheme="minorHAnsi" w:hAnsiTheme="minorHAnsi" w:cstheme="minorHAnsi"/>
                <w:color w:val="000000" w:themeColor="text1"/>
                <w:sz w:val="22"/>
                <w:szCs w:val="22"/>
              </w:rPr>
            </w:pPr>
            <w:r w:rsidRPr="002316D2">
              <w:rPr>
                <w:rStyle w:val="Strong"/>
                <w:rFonts w:asciiTheme="minorHAnsi" w:hAnsiTheme="minorHAnsi" w:cstheme="minorHAnsi"/>
                <w:color w:val="000000" w:themeColor="text1"/>
                <w:sz w:val="22"/>
                <w:szCs w:val="22"/>
              </w:rPr>
              <w:t xml:space="preserve">Te Tuna o </w:t>
            </w:r>
            <w:proofErr w:type="spellStart"/>
            <w:r w:rsidRPr="002316D2">
              <w:rPr>
                <w:rStyle w:val="Strong"/>
                <w:rFonts w:asciiTheme="minorHAnsi" w:hAnsiTheme="minorHAnsi" w:cstheme="minorHAnsi"/>
                <w:color w:val="000000" w:themeColor="text1"/>
                <w:sz w:val="22"/>
                <w:szCs w:val="22"/>
              </w:rPr>
              <w:t>Wairewa</w:t>
            </w:r>
            <w:proofErr w:type="spellEnd"/>
            <w:r w:rsidRPr="002316D2">
              <w:rPr>
                <w:rStyle w:val="Strong"/>
                <w:rFonts w:asciiTheme="minorHAnsi" w:hAnsiTheme="minorHAnsi" w:cstheme="minorHAnsi"/>
                <w:color w:val="000000" w:themeColor="text1"/>
                <w:sz w:val="22"/>
                <w:szCs w:val="22"/>
              </w:rPr>
              <w:t xml:space="preserve"> Methodology and Framework</w:t>
            </w:r>
            <w:r w:rsidRPr="002316D2">
              <w:rPr>
                <w:rFonts w:asciiTheme="minorHAnsi" w:hAnsiTheme="minorHAnsi" w:cstheme="minorHAnsi"/>
                <w:color w:val="000000" w:themeColor="text1"/>
                <w:sz w:val="22"/>
                <w:szCs w:val="22"/>
              </w:rPr>
              <w:t xml:space="preserve"> are more than a research model or environmental management tool, it is a living philosophy, entirely reflective of the tuna (eel) lifecycle. Moving beyond conventional approaches, this system interweaves </w:t>
            </w:r>
            <w:proofErr w:type="spellStart"/>
            <w:r w:rsidRPr="002316D2">
              <w:rPr>
                <w:rFonts w:asciiTheme="minorHAnsi" w:hAnsiTheme="minorHAnsi" w:cstheme="minorHAnsi"/>
                <w:color w:val="000000" w:themeColor="text1"/>
                <w:sz w:val="22"/>
                <w:szCs w:val="22"/>
              </w:rPr>
              <w:t>mātauranga</w:t>
            </w:r>
            <w:proofErr w:type="spellEnd"/>
            <w:r w:rsidRPr="002316D2">
              <w:rPr>
                <w:rFonts w:asciiTheme="minorHAnsi" w:hAnsiTheme="minorHAnsi" w:cstheme="minorHAnsi"/>
                <w:color w:val="000000" w:themeColor="text1"/>
                <w:sz w:val="22"/>
                <w:szCs w:val="22"/>
              </w:rPr>
              <w:t xml:space="preserve"> Māori and practical strategies to create a </w:t>
            </w:r>
            <w:proofErr w:type="spellStart"/>
            <w:r w:rsidRPr="002316D2">
              <w:rPr>
                <w:rFonts w:asciiTheme="minorHAnsi" w:hAnsiTheme="minorHAnsi" w:cstheme="minorHAnsi"/>
                <w:color w:val="000000" w:themeColor="text1"/>
                <w:sz w:val="22"/>
                <w:szCs w:val="22"/>
              </w:rPr>
              <w:t>kaupapa</w:t>
            </w:r>
            <w:proofErr w:type="spellEnd"/>
            <w:r w:rsidRPr="002316D2">
              <w:rPr>
                <w:rFonts w:asciiTheme="minorHAnsi" w:hAnsiTheme="minorHAnsi" w:cstheme="minorHAnsi"/>
                <w:color w:val="000000" w:themeColor="text1"/>
                <w:sz w:val="22"/>
                <w:szCs w:val="22"/>
              </w:rPr>
              <w:t xml:space="preserve"> that is both culturally meaningful and effective in addressing local challenges. At its core, the methodology mirrors the adaptive journey of the tuna, beginning with </w:t>
            </w:r>
            <w:proofErr w:type="spellStart"/>
            <w:r w:rsidRPr="002316D2">
              <w:rPr>
                <w:rStyle w:val="Strong"/>
                <w:rFonts w:asciiTheme="minorHAnsi" w:hAnsiTheme="minorHAnsi" w:cstheme="minorHAnsi"/>
                <w:i/>
                <w:iCs/>
                <w:color w:val="000000" w:themeColor="text1"/>
                <w:sz w:val="22"/>
                <w:szCs w:val="22"/>
              </w:rPr>
              <w:t>Ngā</w:t>
            </w:r>
            <w:proofErr w:type="spellEnd"/>
            <w:r w:rsidRPr="002316D2">
              <w:rPr>
                <w:rStyle w:val="Strong"/>
                <w:rFonts w:asciiTheme="minorHAnsi" w:hAnsiTheme="minorHAnsi" w:cstheme="minorHAnsi"/>
                <w:i/>
                <w:iCs/>
                <w:color w:val="000000" w:themeColor="text1"/>
                <w:sz w:val="22"/>
                <w:szCs w:val="22"/>
              </w:rPr>
              <w:t xml:space="preserve"> </w:t>
            </w:r>
            <w:proofErr w:type="spellStart"/>
            <w:r w:rsidRPr="002316D2">
              <w:rPr>
                <w:rStyle w:val="Strong"/>
                <w:rFonts w:asciiTheme="minorHAnsi" w:hAnsiTheme="minorHAnsi" w:cstheme="minorHAnsi"/>
                <w:i/>
                <w:iCs/>
                <w:color w:val="000000" w:themeColor="text1"/>
                <w:sz w:val="22"/>
                <w:szCs w:val="22"/>
              </w:rPr>
              <w:t>Kākano</w:t>
            </w:r>
            <w:proofErr w:type="spellEnd"/>
            <w:r w:rsidRPr="002316D2">
              <w:rPr>
                <w:rStyle w:val="Strong"/>
                <w:rFonts w:asciiTheme="minorHAnsi" w:hAnsiTheme="minorHAnsi" w:cstheme="minorHAnsi"/>
                <w:color w:val="000000" w:themeColor="text1"/>
                <w:sz w:val="22"/>
                <w:szCs w:val="22"/>
              </w:rPr>
              <w:t xml:space="preserve"> (egg stage), </w:t>
            </w:r>
            <w:r w:rsidRPr="002316D2">
              <w:rPr>
                <w:rFonts w:asciiTheme="minorHAnsi" w:hAnsiTheme="minorHAnsi" w:cstheme="minorHAnsi"/>
                <w:color w:val="000000" w:themeColor="text1"/>
                <w:sz w:val="22"/>
                <w:szCs w:val="22"/>
              </w:rPr>
              <w:t>a state of openness, curiosity, and potential. Each subsequent stage invites researchers and whānau to shift perspectives, aligning with the natural evolution of the tuna. This ensures the process remains fluid, responding to emerging insights and evolving circumstances while maintaining a foundation embedded in cultural identity and community participation.</w:t>
            </w:r>
          </w:p>
          <w:p w14:paraId="04F4EA85" w14:textId="77777777" w:rsidR="00F66ADA" w:rsidRPr="002316D2" w:rsidRDefault="00F66ADA" w:rsidP="008D285F">
            <w:pPr>
              <w:jc w:val="both"/>
              <w:rPr>
                <w:rFonts w:asciiTheme="minorHAnsi" w:hAnsiTheme="minorHAnsi" w:cstheme="minorHAnsi"/>
                <w:color w:val="000000" w:themeColor="text1"/>
                <w:sz w:val="22"/>
                <w:szCs w:val="22"/>
              </w:rPr>
            </w:pPr>
            <w:r w:rsidRPr="002316D2">
              <w:rPr>
                <w:rFonts w:asciiTheme="minorHAnsi" w:hAnsiTheme="minorHAnsi" w:cstheme="minorHAnsi"/>
                <w:color w:val="000000" w:themeColor="text1"/>
                <w:sz w:val="22"/>
                <w:szCs w:val="22"/>
              </w:rPr>
              <w:t xml:space="preserve">The framework is guided by interconnected components, </w:t>
            </w:r>
            <w:r w:rsidRPr="002316D2">
              <w:rPr>
                <w:rStyle w:val="Strong"/>
                <w:rFonts w:asciiTheme="minorHAnsi" w:hAnsiTheme="minorHAnsi" w:cstheme="minorHAnsi"/>
                <w:color w:val="000000" w:themeColor="text1"/>
                <w:sz w:val="22"/>
                <w:szCs w:val="22"/>
              </w:rPr>
              <w:t xml:space="preserve">Te </w:t>
            </w:r>
            <w:proofErr w:type="spellStart"/>
            <w:r w:rsidRPr="002316D2">
              <w:rPr>
                <w:rStyle w:val="Strong"/>
                <w:rFonts w:asciiTheme="minorHAnsi" w:hAnsiTheme="minorHAnsi" w:cstheme="minorHAnsi"/>
                <w:color w:val="000000" w:themeColor="text1"/>
                <w:sz w:val="22"/>
                <w:szCs w:val="22"/>
              </w:rPr>
              <w:t>Huringa</w:t>
            </w:r>
            <w:proofErr w:type="spellEnd"/>
            <w:r w:rsidRPr="002316D2">
              <w:rPr>
                <w:rStyle w:val="Strong"/>
                <w:rFonts w:asciiTheme="minorHAnsi" w:hAnsiTheme="minorHAnsi" w:cstheme="minorHAnsi"/>
                <w:color w:val="000000" w:themeColor="text1"/>
                <w:sz w:val="22"/>
                <w:szCs w:val="22"/>
              </w:rPr>
              <w:t xml:space="preserve"> </w:t>
            </w:r>
            <w:proofErr w:type="spellStart"/>
            <w:r w:rsidRPr="002316D2">
              <w:rPr>
                <w:rStyle w:val="Strong"/>
                <w:rFonts w:asciiTheme="minorHAnsi" w:hAnsiTheme="minorHAnsi" w:cstheme="minorHAnsi"/>
                <w:color w:val="000000" w:themeColor="text1"/>
                <w:sz w:val="22"/>
                <w:szCs w:val="22"/>
              </w:rPr>
              <w:t>Oranga</w:t>
            </w:r>
            <w:proofErr w:type="spellEnd"/>
            <w:r w:rsidRPr="002316D2">
              <w:rPr>
                <w:rStyle w:val="Strong"/>
                <w:rFonts w:asciiTheme="minorHAnsi" w:hAnsiTheme="minorHAnsi" w:cstheme="minorHAnsi"/>
                <w:color w:val="000000" w:themeColor="text1"/>
                <w:sz w:val="22"/>
                <w:szCs w:val="22"/>
              </w:rPr>
              <w:t xml:space="preserve"> (cycle of life), Te Aitanga a Hine </w:t>
            </w:r>
            <w:proofErr w:type="spellStart"/>
            <w:r w:rsidRPr="002316D2">
              <w:rPr>
                <w:rStyle w:val="Strong"/>
                <w:rFonts w:asciiTheme="minorHAnsi" w:hAnsiTheme="minorHAnsi" w:cstheme="minorHAnsi"/>
                <w:color w:val="000000" w:themeColor="text1"/>
                <w:sz w:val="22"/>
                <w:szCs w:val="22"/>
              </w:rPr>
              <w:t>Materoa</w:t>
            </w:r>
            <w:proofErr w:type="spellEnd"/>
            <w:r w:rsidRPr="002316D2">
              <w:rPr>
                <w:rStyle w:val="Strong"/>
                <w:rFonts w:asciiTheme="minorHAnsi" w:hAnsiTheme="minorHAnsi" w:cstheme="minorHAnsi"/>
                <w:color w:val="000000" w:themeColor="text1"/>
                <w:sz w:val="22"/>
                <w:szCs w:val="22"/>
              </w:rPr>
              <w:t xml:space="preserve">, and </w:t>
            </w:r>
            <w:proofErr w:type="spellStart"/>
            <w:r w:rsidRPr="002316D2">
              <w:rPr>
                <w:rStyle w:val="Strong"/>
                <w:rFonts w:asciiTheme="minorHAnsi" w:hAnsiTheme="minorHAnsi" w:cstheme="minorHAnsi"/>
                <w:color w:val="000000" w:themeColor="text1"/>
                <w:sz w:val="22"/>
                <w:szCs w:val="22"/>
              </w:rPr>
              <w:t>Ngā</w:t>
            </w:r>
            <w:proofErr w:type="spellEnd"/>
            <w:r w:rsidRPr="002316D2">
              <w:rPr>
                <w:rStyle w:val="Strong"/>
                <w:rFonts w:asciiTheme="minorHAnsi" w:hAnsiTheme="minorHAnsi" w:cstheme="minorHAnsi"/>
                <w:color w:val="000000" w:themeColor="text1"/>
                <w:sz w:val="22"/>
                <w:szCs w:val="22"/>
              </w:rPr>
              <w:t xml:space="preserve"> Wai Kohikohi o Te </w:t>
            </w:r>
            <w:proofErr w:type="spellStart"/>
            <w:r w:rsidRPr="002316D2">
              <w:rPr>
                <w:rStyle w:val="Strong"/>
                <w:rFonts w:asciiTheme="minorHAnsi" w:hAnsiTheme="minorHAnsi" w:cstheme="minorHAnsi"/>
                <w:color w:val="000000" w:themeColor="text1"/>
                <w:sz w:val="22"/>
                <w:szCs w:val="22"/>
              </w:rPr>
              <w:t>Pātaka</w:t>
            </w:r>
            <w:proofErr w:type="spellEnd"/>
            <w:r w:rsidRPr="002316D2">
              <w:rPr>
                <w:rStyle w:val="Strong"/>
                <w:rFonts w:asciiTheme="minorHAnsi" w:hAnsiTheme="minorHAnsi" w:cstheme="minorHAnsi"/>
                <w:color w:val="000000" w:themeColor="text1"/>
                <w:sz w:val="22"/>
                <w:szCs w:val="22"/>
              </w:rPr>
              <w:t xml:space="preserve"> o </w:t>
            </w:r>
            <w:proofErr w:type="spellStart"/>
            <w:r w:rsidRPr="002316D2">
              <w:rPr>
                <w:rStyle w:val="Strong"/>
                <w:rFonts w:asciiTheme="minorHAnsi" w:hAnsiTheme="minorHAnsi" w:cstheme="minorHAnsi"/>
                <w:color w:val="000000" w:themeColor="text1"/>
                <w:sz w:val="22"/>
                <w:szCs w:val="22"/>
              </w:rPr>
              <w:t>Rākaihautū</w:t>
            </w:r>
            <w:proofErr w:type="spellEnd"/>
            <w:r w:rsidRPr="002316D2">
              <w:rPr>
                <w:rFonts w:asciiTheme="minorHAnsi" w:hAnsiTheme="minorHAnsi" w:cstheme="minorHAnsi"/>
                <w:b/>
                <w:bCs/>
                <w:color w:val="000000" w:themeColor="text1"/>
                <w:sz w:val="22"/>
                <w:szCs w:val="22"/>
              </w:rPr>
              <w:t xml:space="preserve">, </w:t>
            </w:r>
            <w:r w:rsidRPr="002316D2">
              <w:rPr>
                <w:rFonts w:asciiTheme="minorHAnsi" w:hAnsiTheme="minorHAnsi" w:cstheme="minorHAnsi"/>
                <w:color w:val="000000" w:themeColor="text1"/>
                <w:sz w:val="22"/>
                <w:szCs w:val="22"/>
              </w:rPr>
              <w:t xml:space="preserve">each offering a lens through which to understand the relationship between environmental hazards and whānau wellbeing. By aligning the life stages of the tuna with key elements of whānau life, this approach repositions environmental management from a risk-based model to one that centres on the holistic well-being of both people and whenua. What sets this approach apart is its profoundly collaborative nature. Research and environmental management are reimagined as a </w:t>
            </w:r>
            <w:r w:rsidRPr="002316D2">
              <w:rPr>
                <w:rStyle w:val="Strong"/>
                <w:rFonts w:asciiTheme="minorHAnsi" w:hAnsiTheme="minorHAnsi" w:cstheme="minorHAnsi"/>
                <w:color w:val="000000" w:themeColor="text1"/>
                <w:sz w:val="22"/>
                <w:szCs w:val="22"/>
              </w:rPr>
              <w:t>participatory journey</w:t>
            </w:r>
            <w:r w:rsidRPr="002316D2">
              <w:rPr>
                <w:rFonts w:asciiTheme="minorHAnsi" w:hAnsiTheme="minorHAnsi" w:cstheme="minorHAnsi"/>
                <w:b/>
                <w:bCs/>
                <w:color w:val="000000" w:themeColor="text1"/>
                <w:sz w:val="22"/>
                <w:szCs w:val="22"/>
              </w:rPr>
              <w:t xml:space="preserve"> </w:t>
            </w:r>
            <w:r w:rsidRPr="002316D2">
              <w:rPr>
                <w:rFonts w:asciiTheme="minorHAnsi" w:hAnsiTheme="minorHAnsi" w:cstheme="minorHAnsi"/>
                <w:color w:val="000000" w:themeColor="text1"/>
                <w:sz w:val="22"/>
                <w:szCs w:val="22"/>
              </w:rPr>
              <w:t xml:space="preserve">alongside </w:t>
            </w:r>
            <w:proofErr w:type="spellStart"/>
            <w:r w:rsidRPr="002316D2">
              <w:rPr>
                <w:rFonts w:asciiTheme="minorHAnsi" w:hAnsiTheme="minorHAnsi" w:cstheme="minorHAnsi"/>
                <w:color w:val="000000" w:themeColor="text1"/>
                <w:sz w:val="22"/>
                <w:szCs w:val="22"/>
              </w:rPr>
              <w:t>tangata</w:t>
            </w:r>
            <w:proofErr w:type="spellEnd"/>
            <w:r w:rsidRPr="002316D2">
              <w:rPr>
                <w:rFonts w:asciiTheme="minorHAnsi" w:hAnsiTheme="minorHAnsi" w:cstheme="minorHAnsi"/>
                <w:color w:val="000000" w:themeColor="text1"/>
                <w:sz w:val="22"/>
                <w:szCs w:val="22"/>
              </w:rPr>
              <w:t xml:space="preserve"> whenua, bridging traditional and contemporary perspectives. The methodology challenges participants to </w:t>
            </w:r>
            <w:r w:rsidRPr="002316D2">
              <w:rPr>
                <w:rStyle w:val="Strong"/>
                <w:rFonts w:asciiTheme="minorHAnsi" w:hAnsiTheme="minorHAnsi" w:cstheme="minorHAnsi"/>
                <w:i/>
                <w:iCs/>
                <w:color w:val="000000" w:themeColor="text1"/>
                <w:sz w:val="22"/>
                <w:szCs w:val="22"/>
              </w:rPr>
              <w:t>“be the tuna”</w:t>
            </w:r>
            <w:r w:rsidRPr="002316D2">
              <w:rPr>
                <w:rFonts w:asciiTheme="minorHAnsi" w:hAnsiTheme="minorHAnsi" w:cstheme="minorHAnsi"/>
                <w:i/>
                <w:iCs/>
                <w:color w:val="000000" w:themeColor="text1"/>
                <w:sz w:val="22"/>
                <w:szCs w:val="22"/>
              </w:rPr>
              <w:t xml:space="preserve"> </w:t>
            </w:r>
            <w:r w:rsidRPr="002316D2">
              <w:rPr>
                <w:rFonts w:asciiTheme="minorHAnsi" w:hAnsiTheme="minorHAnsi" w:cstheme="minorHAnsi"/>
                <w:color w:val="000000" w:themeColor="text1"/>
                <w:sz w:val="22"/>
                <w:szCs w:val="22"/>
              </w:rPr>
              <w:t>at each stage, adaptive, resilient, and attuned to their environment. When new information or community needs arise, the framework prioritises fluidity over rigid adherence to predetermined structures, ensuring solutions remain responsive and relevant.</w:t>
            </w:r>
          </w:p>
          <w:p w14:paraId="42D5B447" w14:textId="77777777" w:rsidR="00F66ADA" w:rsidRPr="002316D2" w:rsidRDefault="00F66ADA" w:rsidP="008D285F">
            <w:pPr>
              <w:jc w:val="both"/>
              <w:rPr>
                <w:rFonts w:asciiTheme="minorHAnsi" w:hAnsiTheme="minorHAnsi" w:cstheme="minorHAnsi"/>
                <w:color w:val="000000" w:themeColor="text1"/>
                <w:sz w:val="22"/>
                <w:szCs w:val="22"/>
              </w:rPr>
            </w:pPr>
            <w:r w:rsidRPr="002316D2">
              <w:rPr>
                <w:rFonts w:asciiTheme="minorHAnsi" w:hAnsiTheme="minorHAnsi" w:cstheme="minorHAnsi"/>
                <w:color w:val="000000" w:themeColor="text1"/>
                <w:sz w:val="22"/>
                <w:szCs w:val="22"/>
              </w:rPr>
              <w:t>By grounding itself in</w:t>
            </w:r>
            <w:r w:rsidRPr="002316D2">
              <w:rPr>
                <w:rFonts w:asciiTheme="minorHAnsi" w:hAnsiTheme="minorHAnsi" w:cstheme="minorHAnsi"/>
                <w:b/>
                <w:bCs/>
                <w:color w:val="000000" w:themeColor="text1"/>
                <w:sz w:val="22"/>
                <w:szCs w:val="22"/>
              </w:rPr>
              <w:t xml:space="preserve"> </w:t>
            </w:r>
            <w:r w:rsidRPr="002316D2">
              <w:rPr>
                <w:rStyle w:val="Strong"/>
                <w:rFonts w:asciiTheme="minorHAnsi" w:hAnsiTheme="minorHAnsi" w:cstheme="minorHAnsi"/>
                <w:color w:val="000000" w:themeColor="text1"/>
                <w:sz w:val="22"/>
                <w:szCs w:val="22"/>
              </w:rPr>
              <w:t>localised, context-specific strategies</w:t>
            </w:r>
            <w:r w:rsidRPr="002316D2">
              <w:rPr>
                <w:rFonts w:asciiTheme="minorHAnsi" w:hAnsiTheme="minorHAnsi" w:cstheme="minorHAnsi"/>
                <w:b/>
                <w:bCs/>
                <w:color w:val="000000" w:themeColor="text1"/>
                <w:sz w:val="22"/>
                <w:szCs w:val="22"/>
              </w:rPr>
              <w:t>,</w:t>
            </w:r>
            <w:r w:rsidRPr="002316D2">
              <w:rPr>
                <w:rFonts w:asciiTheme="minorHAnsi" w:hAnsiTheme="minorHAnsi" w:cstheme="minorHAnsi"/>
                <w:color w:val="000000" w:themeColor="text1"/>
                <w:sz w:val="22"/>
                <w:szCs w:val="22"/>
              </w:rPr>
              <w:t xml:space="preserve"> this framework honours the cultural and environmental realities of </w:t>
            </w:r>
            <w:proofErr w:type="spellStart"/>
            <w:r w:rsidRPr="002316D2">
              <w:rPr>
                <w:rFonts w:asciiTheme="minorHAnsi" w:hAnsiTheme="minorHAnsi" w:cstheme="minorHAnsi"/>
                <w:color w:val="000000" w:themeColor="text1"/>
                <w:sz w:val="22"/>
                <w:szCs w:val="22"/>
              </w:rPr>
              <w:t>Wairewa</w:t>
            </w:r>
            <w:proofErr w:type="spellEnd"/>
            <w:r w:rsidRPr="002316D2">
              <w:rPr>
                <w:rFonts w:asciiTheme="minorHAnsi" w:hAnsiTheme="minorHAnsi" w:cstheme="minorHAnsi"/>
                <w:color w:val="000000" w:themeColor="text1"/>
                <w:sz w:val="22"/>
                <w:szCs w:val="22"/>
              </w:rPr>
              <w:t xml:space="preserve"> whānau. It upholds the importance of protecting wāhi </w:t>
            </w:r>
            <w:proofErr w:type="spellStart"/>
            <w:r w:rsidRPr="002316D2">
              <w:rPr>
                <w:rFonts w:asciiTheme="minorHAnsi" w:hAnsiTheme="minorHAnsi" w:cstheme="minorHAnsi"/>
                <w:color w:val="000000" w:themeColor="text1"/>
                <w:sz w:val="22"/>
                <w:szCs w:val="22"/>
              </w:rPr>
              <w:t>tapu</w:t>
            </w:r>
            <w:proofErr w:type="spellEnd"/>
            <w:r w:rsidRPr="002316D2">
              <w:rPr>
                <w:rFonts w:asciiTheme="minorHAnsi" w:hAnsiTheme="minorHAnsi" w:cstheme="minorHAnsi"/>
                <w:color w:val="000000" w:themeColor="text1"/>
                <w:sz w:val="22"/>
                <w:szCs w:val="22"/>
              </w:rPr>
              <w:t xml:space="preserve">, sustaining </w:t>
            </w:r>
            <w:proofErr w:type="spellStart"/>
            <w:r w:rsidRPr="002316D2">
              <w:rPr>
                <w:rFonts w:asciiTheme="minorHAnsi" w:hAnsiTheme="minorHAnsi" w:cstheme="minorHAnsi"/>
                <w:color w:val="000000" w:themeColor="text1"/>
                <w:sz w:val="22"/>
                <w:szCs w:val="22"/>
              </w:rPr>
              <w:t>mahinga</w:t>
            </w:r>
            <w:proofErr w:type="spellEnd"/>
            <w:r w:rsidRPr="002316D2">
              <w:rPr>
                <w:rFonts w:asciiTheme="minorHAnsi" w:hAnsiTheme="minorHAnsi" w:cstheme="minorHAnsi"/>
                <w:color w:val="000000" w:themeColor="text1"/>
                <w:sz w:val="22"/>
                <w:szCs w:val="22"/>
              </w:rPr>
              <w:t xml:space="preserve"> kai, and strengthening community resilience. In doing so, it offers a model that demonstrates how Indigenous philosophies can lead to environmental management, proving that when cultural values are placed at the heart of decision-making, both whenua and whānau flourish. This </w:t>
            </w:r>
            <w:proofErr w:type="spellStart"/>
            <w:r w:rsidRPr="002316D2">
              <w:rPr>
                <w:rFonts w:asciiTheme="minorHAnsi" w:hAnsiTheme="minorHAnsi" w:cstheme="minorHAnsi"/>
                <w:color w:val="000000" w:themeColor="text1"/>
                <w:sz w:val="22"/>
                <w:szCs w:val="22"/>
              </w:rPr>
              <w:t>kaupapa</w:t>
            </w:r>
            <w:proofErr w:type="spellEnd"/>
            <w:r w:rsidRPr="002316D2">
              <w:rPr>
                <w:rFonts w:asciiTheme="minorHAnsi" w:hAnsiTheme="minorHAnsi" w:cstheme="minorHAnsi"/>
                <w:color w:val="000000" w:themeColor="text1"/>
                <w:sz w:val="22"/>
                <w:szCs w:val="22"/>
              </w:rPr>
              <w:t xml:space="preserve"> not only guides </w:t>
            </w:r>
            <w:proofErr w:type="spellStart"/>
            <w:r w:rsidRPr="002316D2">
              <w:rPr>
                <w:rFonts w:asciiTheme="minorHAnsi" w:hAnsiTheme="minorHAnsi" w:cstheme="minorHAnsi"/>
                <w:color w:val="000000" w:themeColor="text1"/>
                <w:sz w:val="22"/>
                <w:szCs w:val="22"/>
              </w:rPr>
              <w:t>Wairewa</w:t>
            </w:r>
            <w:proofErr w:type="spellEnd"/>
            <w:r w:rsidRPr="002316D2">
              <w:rPr>
                <w:rFonts w:asciiTheme="minorHAnsi" w:hAnsiTheme="minorHAnsi" w:cstheme="minorHAnsi"/>
                <w:color w:val="000000" w:themeColor="text1"/>
                <w:sz w:val="22"/>
                <w:szCs w:val="22"/>
              </w:rPr>
              <w:t xml:space="preserve"> but also provides a pathway for other iwi and hapū to develop frameworks that reflect their unique relationships with the land.</w:t>
            </w:r>
          </w:p>
          <w:p w14:paraId="38492B5B" w14:textId="77777777" w:rsidR="00F66ADA" w:rsidRPr="00684623" w:rsidRDefault="00F66ADA" w:rsidP="00BE0B4D">
            <w:pPr>
              <w:jc w:val="both"/>
              <w:rPr>
                <w:rFonts w:ascii="Arial" w:hAnsi="Arial" w:cs="Arial"/>
                <w:b/>
                <w:sz w:val="22"/>
                <w:szCs w:val="22"/>
              </w:rPr>
            </w:pPr>
          </w:p>
        </w:tc>
      </w:tr>
      <w:tr w:rsidR="00F66ADA" w:rsidRPr="00684623" w14:paraId="14A88A1A" w14:textId="77777777" w:rsidTr="009F4EA0">
        <w:trPr>
          <w:trHeight w:val="576"/>
        </w:trPr>
        <w:tc>
          <w:tcPr>
            <w:tcW w:w="8640" w:type="dxa"/>
          </w:tcPr>
          <w:p w14:paraId="2CFADD24" w14:textId="77777777" w:rsidR="00F66ADA" w:rsidRPr="00684623" w:rsidRDefault="00F66ADA" w:rsidP="004828A0">
            <w:pPr>
              <w:jc w:val="both"/>
              <w:rPr>
                <w:rFonts w:ascii="Arial" w:hAnsi="Arial" w:cs="Arial"/>
                <w:b/>
                <w:sz w:val="22"/>
                <w:szCs w:val="22"/>
              </w:rPr>
            </w:pPr>
            <w:r w:rsidRPr="00684623">
              <w:rPr>
                <w:rFonts w:ascii="Arial" w:hAnsi="Arial" w:cs="Arial"/>
                <w:b/>
                <w:sz w:val="22"/>
                <w:szCs w:val="22"/>
              </w:rPr>
              <w:lastRenderedPageBreak/>
              <w:t>INDIVIDUAL PANELLIST CONTRIBUTION</w:t>
            </w:r>
          </w:p>
          <w:p w14:paraId="2F028A9E" w14:textId="77777777" w:rsidR="00F66ADA" w:rsidRPr="00684623" w:rsidRDefault="00F66ADA" w:rsidP="004828A0">
            <w:pPr>
              <w:jc w:val="both"/>
              <w:rPr>
                <w:rFonts w:ascii="Arial" w:hAnsi="Arial" w:cs="Arial"/>
                <w:b/>
                <w:sz w:val="22"/>
                <w:szCs w:val="22"/>
                <w:u w:val="single"/>
              </w:rPr>
            </w:pPr>
          </w:p>
          <w:p w14:paraId="0F8C8F64" w14:textId="77777777" w:rsidR="00F66ADA" w:rsidRPr="00684623" w:rsidRDefault="00F66ADA" w:rsidP="004828A0">
            <w:pPr>
              <w:jc w:val="both"/>
              <w:rPr>
                <w:rFonts w:ascii="Arial" w:hAnsi="Arial" w:cs="Arial"/>
                <w:b/>
                <w:sz w:val="22"/>
                <w:szCs w:val="22"/>
                <w:u w:val="single"/>
              </w:rPr>
            </w:pPr>
            <w:r w:rsidRPr="00684623">
              <w:rPr>
                <w:rFonts w:ascii="Arial" w:hAnsi="Arial" w:cs="Arial"/>
                <w:b/>
                <w:sz w:val="22"/>
                <w:szCs w:val="22"/>
                <w:u w:val="single"/>
              </w:rPr>
              <w:t>Moderator Details</w:t>
            </w:r>
          </w:p>
          <w:p w14:paraId="1E65A774" w14:textId="77777777" w:rsidR="00F66ADA" w:rsidRPr="00684623" w:rsidRDefault="00F66ADA" w:rsidP="004828A0">
            <w:pPr>
              <w:jc w:val="both"/>
              <w:rPr>
                <w:rFonts w:ascii="Arial" w:hAnsi="Arial" w:cs="Arial"/>
                <w:b/>
                <w:sz w:val="22"/>
                <w:szCs w:val="22"/>
              </w:rPr>
            </w:pPr>
            <w:r w:rsidRPr="00684623">
              <w:rPr>
                <w:rFonts w:ascii="Arial" w:hAnsi="Arial" w:cs="Arial"/>
                <w:b/>
                <w:sz w:val="22"/>
                <w:szCs w:val="22"/>
              </w:rPr>
              <w:t xml:space="preserve">Full Name: </w:t>
            </w:r>
            <w:r w:rsidRPr="00684623">
              <w:rPr>
                <w:rFonts w:ascii="Arial" w:hAnsi="Arial" w:cs="Arial"/>
                <w:bCs/>
                <w:sz w:val="22"/>
                <w:szCs w:val="22"/>
              </w:rPr>
              <w:t>Associate Professor Silvia Serrao-Neumann</w:t>
            </w:r>
          </w:p>
          <w:p w14:paraId="3CD5C27D" w14:textId="77777777" w:rsidR="00F66ADA" w:rsidRPr="00684623" w:rsidRDefault="00F66ADA" w:rsidP="004828A0">
            <w:pPr>
              <w:jc w:val="both"/>
              <w:rPr>
                <w:rFonts w:ascii="Arial" w:hAnsi="Arial" w:cs="Arial"/>
                <w:b/>
                <w:sz w:val="22"/>
                <w:szCs w:val="22"/>
              </w:rPr>
            </w:pPr>
            <w:r w:rsidRPr="00684623">
              <w:rPr>
                <w:rFonts w:ascii="Arial" w:hAnsi="Arial" w:cs="Arial"/>
                <w:b/>
                <w:sz w:val="22"/>
                <w:szCs w:val="22"/>
              </w:rPr>
              <w:t xml:space="preserve">Organisation: </w:t>
            </w:r>
            <w:r w:rsidRPr="00684623">
              <w:rPr>
                <w:rFonts w:ascii="Arial" w:hAnsi="Arial" w:cs="Arial"/>
                <w:bCs/>
                <w:sz w:val="22"/>
                <w:szCs w:val="22"/>
              </w:rPr>
              <w:t>The University of Waikato</w:t>
            </w:r>
          </w:p>
          <w:p w14:paraId="6F931BD6" w14:textId="24302669" w:rsidR="00F66ADA" w:rsidRPr="00684623" w:rsidRDefault="00F66ADA" w:rsidP="004828A0">
            <w:pPr>
              <w:jc w:val="both"/>
              <w:rPr>
                <w:rFonts w:ascii="Arial" w:hAnsi="Arial" w:cs="Arial"/>
                <w:b/>
                <w:sz w:val="22"/>
                <w:szCs w:val="22"/>
              </w:rPr>
            </w:pPr>
            <w:r w:rsidRPr="00684623">
              <w:rPr>
                <w:rFonts w:ascii="Arial" w:hAnsi="Arial" w:cs="Arial"/>
                <w:b/>
                <w:sz w:val="22"/>
                <w:szCs w:val="22"/>
              </w:rPr>
              <w:t>Bio sketch</w:t>
            </w:r>
            <w:r w:rsidR="00C91381">
              <w:rPr>
                <w:rFonts w:ascii="Arial" w:hAnsi="Arial" w:cs="Arial"/>
                <w:b/>
                <w:sz w:val="22"/>
                <w:szCs w:val="22"/>
              </w:rPr>
              <w:t>:</w:t>
            </w:r>
          </w:p>
          <w:p w14:paraId="799FC631" w14:textId="77777777" w:rsidR="00F66ADA" w:rsidRPr="00684623" w:rsidRDefault="00F66ADA" w:rsidP="004828A0">
            <w:pPr>
              <w:jc w:val="both"/>
              <w:rPr>
                <w:rFonts w:ascii="Arial" w:hAnsi="Arial" w:cs="Arial"/>
                <w:bCs/>
                <w:sz w:val="22"/>
                <w:szCs w:val="22"/>
              </w:rPr>
            </w:pPr>
            <w:r w:rsidRPr="00684623">
              <w:rPr>
                <w:rFonts w:ascii="Arial" w:hAnsi="Arial" w:cs="Arial"/>
                <w:bCs/>
                <w:sz w:val="22"/>
                <w:szCs w:val="22"/>
              </w:rPr>
              <w:t xml:space="preserve">Silvia </w:t>
            </w:r>
            <w:proofErr w:type="gramStart"/>
            <w:r w:rsidRPr="00684623">
              <w:rPr>
                <w:rFonts w:ascii="Arial" w:hAnsi="Arial" w:cs="Arial"/>
                <w:bCs/>
                <w:sz w:val="22"/>
                <w:szCs w:val="22"/>
              </w:rPr>
              <w:t>researches</w:t>
            </w:r>
            <w:proofErr w:type="gramEnd"/>
            <w:r w:rsidRPr="00684623">
              <w:rPr>
                <w:rFonts w:ascii="Arial" w:hAnsi="Arial" w:cs="Arial"/>
                <w:bCs/>
                <w:sz w:val="22"/>
                <w:szCs w:val="22"/>
              </w:rPr>
              <w:t xml:space="preserve"> catchment scale planning for water sensitive city-regions and participates in interdisciplinary research on climate change adaptation, community planning for disaster recovery and resilience, and action/ intervention research applied to planning for climate change adaptation. She publishes on water resource management, climate change adaptation, and urban and regional planning. </w:t>
            </w:r>
          </w:p>
          <w:p w14:paraId="018343E9" w14:textId="77777777" w:rsidR="00F66ADA" w:rsidRPr="00684623" w:rsidRDefault="00F66ADA" w:rsidP="004828A0">
            <w:pPr>
              <w:jc w:val="both"/>
              <w:rPr>
                <w:rFonts w:ascii="Arial" w:hAnsi="Arial" w:cs="Arial"/>
                <w:b/>
                <w:sz w:val="22"/>
                <w:szCs w:val="22"/>
              </w:rPr>
            </w:pPr>
          </w:p>
          <w:p w14:paraId="39D7D6C9" w14:textId="77777777" w:rsidR="00C91381" w:rsidRDefault="00C91381" w:rsidP="004828A0">
            <w:pPr>
              <w:jc w:val="both"/>
              <w:rPr>
                <w:rFonts w:ascii="Arial" w:hAnsi="Arial" w:cs="Arial"/>
                <w:b/>
                <w:sz w:val="22"/>
                <w:szCs w:val="22"/>
              </w:rPr>
            </w:pPr>
          </w:p>
          <w:p w14:paraId="20A38B98" w14:textId="2417A313" w:rsidR="00F66ADA" w:rsidRPr="00684623" w:rsidRDefault="00F66ADA" w:rsidP="004828A0">
            <w:pPr>
              <w:jc w:val="both"/>
              <w:rPr>
                <w:rFonts w:ascii="Arial" w:hAnsi="Arial" w:cs="Arial"/>
                <w:b/>
                <w:sz w:val="22"/>
                <w:szCs w:val="22"/>
                <w:u w:val="single"/>
              </w:rPr>
            </w:pPr>
            <w:r w:rsidRPr="00684623">
              <w:rPr>
                <w:rFonts w:ascii="Arial" w:hAnsi="Arial" w:cs="Arial"/>
                <w:b/>
                <w:sz w:val="22"/>
                <w:szCs w:val="22"/>
                <w:u w:val="single"/>
              </w:rPr>
              <w:t>Panellist 1</w:t>
            </w:r>
          </w:p>
          <w:p w14:paraId="3D2F1156" w14:textId="77777777" w:rsidR="00F66ADA" w:rsidRPr="00684623" w:rsidRDefault="00F66ADA" w:rsidP="00E9389C">
            <w:pPr>
              <w:jc w:val="both"/>
              <w:rPr>
                <w:rFonts w:ascii="Arial" w:hAnsi="Arial" w:cs="Arial"/>
                <w:b/>
                <w:sz w:val="22"/>
                <w:szCs w:val="22"/>
              </w:rPr>
            </w:pPr>
            <w:r w:rsidRPr="00684623">
              <w:rPr>
                <w:rFonts w:ascii="Arial" w:hAnsi="Arial" w:cs="Arial"/>
                <w:b/>
                <w:sz w:val="22"/>
                <w:szCs w:val="22"/>
              </w:rPr>
              <w:t xml:space="preserve">Full Name: </w:t>
            </w:r>
            <w:r w:rsidRPr="00684623">
              <w:rPr>
                <w:rFonts w:ascii="Arial" w:hAnsi="Arial" w:cs="Arial"/>
                <w:bCs/>
                <w:sz w:val="22"/>
                <w:szCs w:val="22"/>
              </w:rPr>
              <w:t>Dr Emily Lane</w:t>
            </w:r>
          </w:p>
          <w:p w14:paraId="51B8DA88" w14:textId="77777777" w:rsidR="00F66ADA" w:rsidRPr="00684623" w:rsidRDefault="00F66ADA" w:rsidP="00E9389C">
            <w:pPr>
              <w:jc w:val="both"/>
              <w:rPr>
                <w:rFonts w:ascii="Arial" w:hAnsi="Arial" w:cs="Arial"/>
                <w:b/>
                <w:sz w:val="22"/>
                <w:szCs w:val="22"/>
              </w:rPr>
            </w:pPr>
            <w:r w:rsidRPr="00684623">
              <w:rPr>
                <w:rFonts w:ascii="Arial" w:hAnsi="Arial" w:cs="Arial"/>
                <w:b/>
                <w:sz w:val="22"/>
                <w:szCs w:val="22"/>
              </w:rPr>
              <w:t xml:space="preserve">Organisation: </w:t>
            </w:r>
            <w:r w:rsidRPr="00684623">
              <w:rPr>
                <w:rFonts w:ascii="Arial" w:hAnsi="Arial" w:cs="Arial"/>
                <w:bCs/>
                <w:sz w:val="22"/>
                <w:szCs w:val="22"/>
              </w:rPr>
              <w:t>NIWA</w:t>
            </w:r>
          </w:p>
          <w:p w14:paraId="3BA48419" w14:textId="77777777" w:rsidR="00F66ADA" w:rsidRPr="00684623" w:rsidRDefault="00F66ADA" w:rsidP="00E9389C">
            <w:pPr>
              <w:jc w:val="both"/>
              <w:rPr>
                <w:rFonts w:ascii="Arial" w:hAnsi="Arial" w:cs="Arial"/>
                <w:b/>
                <w:sz w:val="22"/>
                <w:szCs w:val="22"/>
              </w:rPr>
            </w:pPr>
            <w:r w:rsidRPr="00684623">
              <w:rPr>
                <w:rFonts w:ascii="Arial" w:hAnsi="Arial" w:cs="Arial"/>
                <w:b/>
                <w:sz w:val="22"/>
                <w:szCs w:val="22"/>
              </w:rPr>
              <w:t>Bio</w:t>
            </w:r>
          </w:p>
          <w:p w14:paraId="316C941E" w14:textId="77777777" w:rsidR="00F66ADA" w:rsidRPr="00684623" w:rsidRDefault="00F66ADA" w:rsidP="00E9389C">
            <w:pPr>
              <w:jc w:val="both"/>
              <w:rPr>
                <w:rFonts w:ascii="Arial" w:hAnsi="Arial" w:cs="Arial"/>
                <w:bCs/>
                <w:sz w:val="22"/>
                <w:szCs w:val="22"/>
              </w:rPr>
            </w:pPr>
            <w:r w:rsidRPr="00684623">
              <w:rPr>
                <w:rFonts w:ascii="Arial" w:hAnsi="Arial" w:cs="Arial"/>
                <w:bCs/>
                <w:sz w:val="22"/>
                <w:szCs w:val="22"/>
              </w:rPr>
              <w:lastRenderedPageBreak/>
              <w:t xml:space="preserve">Emily is a </w:t>
            </w:r>
            <w:r>
              <w:rPr>
                <w:rFonts w:ascii="Arial" w:hAnsi="Arial" w:cs="Arial"/>
                <w:bCs/>
                <w:sz w:val="22"/>
                <w:szCs w:val="22"/>
              </w:rPr>
              <w:t xml:space="preserve">principal </w:t>
            </w:r>
            <w:r w:rsidRPr="00684623">
              <w:rPr>
                <w:rFonts w:ascii="Arial" w:hAnsi="Arial" w:cs="Arial"/>
                <w:bCs/>
                <w:sz w:val="22"/>
                <w:szCs w:val="22"/>
              </w:rPr>
              <w:t xml:space="preserve">scientist </w:t>
            </w:r>
            <w:r>
              <w:rPr>
                <w:rFonts w:ascii="Arial" w:hAnsi="Arial" w:cs="Arial"/>
                <w:bCs/>
                <w:sz w:val="22"/>
                <w:szCs w:val="22"/>
              </w:rPr>
              <w:t xml:space="preserve">in natural hazards and </w:t>
            </w:r>
            <w:r w:rsidRPr="00684623">
              <w:rPr>
                <w:rFonts w:ascii="Arial" w:hAnsi="Arial" w:cs="Arial"/>
                <w:bCs/>
                <w:sz w:val="22"/>
                <w:szCs w:val="22"/>
              </w:rPr>
              <w:t>hydrodynamic focusing on flood</w:t>
            </w:r>
            <w:r>
              <w:rPr>
                <w:rFonts w:ascii="Arial" w:hAnsi="Arial" w:cs="Arial"/>
                <w:bCs/>
                <w:sz w:val="22"/>
                <w:szCs w:val="22"/>
              </w:rPr>
              <w:t>,</w:t>
            </w:r>
            <w:r w:rsidRPr="00684623">
              <w:rPr>
                <w:rFonts w:ascii="Arial" w:hAnsi="Arial" w:cs="Arial"/>
                <w:bCs/>
                <w:sz w:val="22"/>
                <w:szCs w:val="22"/>
              </w:rPr>
              <w:t xml:space="preserve"> tsunami and storm surge inundation. She currently leads Mā te haumaru ō te wai - an Endeavour programme focused on understanding Aotearoa's flood inundation hazard and risk at a national level and using this to improve our resilience to flooding.</w:t>
            </w:r>
          </w:p>
          <w:p w14:paraId="2D7AFEFE" w14:textId="77777777" w:rsidR="00F66ADA" w:rsidRPr="00684623" w:rsidRDefault="00F66ADA" w:rsidP="00E9389C">
            <w:pPr>
              <w:jc w:val="both"/>
              <w:rPr>
                <w:rFonts w:ascii="Arial" w:hAnsi="Arial" w:cs="Arial"/>
                <w:b/>
                <w:sz w:val="22"/>
                <w:szCs w:val="22"/>
              </w:rPr>
            </w:pPr>
          </w:p>
          <w:p w14:paraId="629523AC" w14:textId="2857BBEB" w:rsidR="00F66ADA" w:rsidRPr="00684623" w:rsidRDefault="00F66ADA" w:rsidP="00E9389C">
            <w:pPr>
              <w:jc w:val="both"/>
              <w:rPr>
                <w:rFonts w:ascii="Arial" w:hAnsi="Arial" w:cs="Arial"/>
                <w:b/>
                <w:sz w:val="22"/>
                <w:szCs w:val="22"/>
              </w:rPr>
            </w:pPr>
            <w:r w:rsidRPr="00684623">
              <w:rPr>
                <w:rFonts w:ascii="Arial" w:hAnsi="Arial" w:cs="Arial"/>
                <w:b/>
                <w:sz w:val="22"/>
                <w:szCs w:val="22"/>
              </w:rPr>
              <w:t>Presentation 1</w:t>
            </w:r>
          </w:p>
          <w:p w14:paraId="0E866FAE" w14:textId="77777777" w:rsidR="00F66ADA" w:rsidRPr="00684623" w:rsidRDefault="00F66ADA" w:rsidP="001427CB">
            <w:pPr>
              <w:jc w:val="both"/>
              <w:rPr>
                <w:rFonts w:ascii="Arial" w:hAnsi="Arial" w:cs="Arial"/>
                <w:bCs/>
                <w:sz w:val="22"/>
                <w:szCs w:val="22"/>
              </w:rPr>
            </w:pPr>
            <w:r>
              <w:rPr>
                <w:rFonts w:ascii="Arial" w:hAnsi="Arial" w:cs="Arial"/>
                <w:bCs/>
                <w:sz w:val="22"/>
                <w:szCs w:val="22"/>
              </w:rPr>
              <w:t xml:space="preserve">Development of a consistent </w:t>
            </w:r>
            <w:r w:rsidRPr="001427CB">
              <w:rPr>
                <w:rFonts w:ascii="Arial" w:hAnsi="Arial" w:cs="Arial"/>
                <w:bCs/>
                <w:sz w:val="22"/>
                <w:szCs w:val="22"/>
              </w:rPr>
              <w:t xml:space="preserve">national-level </w:t>
            </w:r>
            <w:r>
              <w:rPr>
                <w:rFonts w:ascii="Arial" w:hAnsi="Arial" w:cs="Arial"/>
                <w:bCs/>
                <w:sz w:val="22"/>
                <w:szCs w:val="22"/>
              </w:rPr>
              <w:t xml:space="preserve">flood </w:t>
            </w:r>
            <w:r w:rsidRPr="001427CB">
              <w:rPr>
                <w:rFonts w:ascii="Arial" w:hAnsi="Arial" w:cs="Arial"/>
                <w:bCs/>
                <w:sz w:val="22"/>
                <w:szCs w:val="22"/>
              </w:rPr>
              <w:t xml:space="preserve">hazard and risk model </w:t>
            </w:r>
          </w:p>
          <w:p w14:paraId="567712CB" w14:textId="77777777" w:rsidR="00F66ADA" w:rsidRPr="00684623" w:rsidRDefault="00F66ADA" w:rsidP="004828A0">
            <w:pPr>
              <w:jc w:val="both"/>
              <w:rPr>
                <w:rFonts w:ascii="Arial" w:hAnsi="Arial" w:cs="Arial"/>
                <w:b/>
                <w:sz w:val="22"/>
                <w:szCs w:val="22"/>
              </w:rPr>
            </w:pPr>
          </w:p>
          <w:p w14:paraId="3118D282" w14:textId="77777777" w:rsidR="00F66ADA" w:rsidRPr="00684623" w:rsidRDefault="00F66ADA" w:rsidP="004828A0">
            <w:pPr>
              <w:jc w:val="both"/>
              <w:rPr>
                <w:rFonts w:ascii="Arial" w:hAnsi="Arial" w:cs="Arial"/>
                <w:bCs/>
                <w:sz w:val="22"/>
                <w:szCs w:val="22"/>
              </w:rPr>
            </w:pPr>
            <w:r w:rsidRPr="00684623">
              <w:rPr>
                <w:rFonts w:ascii="Arial" w:hAnsi="Arial" w:cs="Arial"/>
                <w:b/>
                <w:bCs/>
                <w:sz w:val="22"/>
                <w:szCs w:val="22"/>
              </w:rPr>
              <w:t>Panellist 1 Contribution:</w:t>
            </w:r>
          </w:p>
          <w:p w14:paraId="20509A1F" w14:textId="77777777" w:rsidR="00F66ADA" w:rsidRPr="001427CB" w:rsidRDefault="00F66ADA" w:rsidP="00E9389C">
            <w:pPr>
              <w:jc w:val="both"/>
              <w:rPr>
                <w:rFonts w:ascii="Arial" w:hAnsi="Arial" w:cs="Arial"/>
                <w:sz w:val="22"/>
                <w:szCs w:val="22"/>
              </w:rPr>
            </w:pPr>
            <w:r w:rsidRPr="00684623">
              <w:rPr>
                <w:rFonts w:ascii="Arial" w:hAnsi="Arial" w:cs="Arial"/>
                <w:b/>
                <w:bCs/>
                <w:sz w:val="22"/>
                <w:szCs w:val="22"/>
              </w:rPr>
              <w:t>Introduction</w:t>
            </w:r>
            <w:r>
              <w:rPr>
                <w:rFonts w:ascii="Arial" w:hAnsi="Arial" w:cs="Arial"/>
                <w:b/>
                <w:bCs/>
                <w:sz w:val="22"/>
                <w:szCs w:val="22"/>
              </w:rPr>
              <w:t xml:space="preserve">: </w:t>
            </w:r>
            <w:r w:rsidRPr="001427CB">
              <w:rPr>
                <w:rFonts w:ascii="Arial" w:hAnsi="Arial" w:cs="Arial"/>
                <w:sz w:val="22"/>
                <w:szCs w:val="22"/>
              </w:rPr>
              <w:t>Flood models</w:t>
            </w:r>
            <w:r>
              <w:rPr>
                <w:rFonts w:ascii="Arial" w:hAnsi="Arial" w:cs="Arial"/>
                <w:sz w:val="22"/>
                <w:szCs w:val="22"/>
              </w:rPr>
              <w:t xml:space="preserve"> are developed for different applications and the methods used are dependent on those applications. This can make intercomparisons between models difficult; instead, a hierarchy of models is created with more complex, higher resolution local models (such as specific stormwater models) at the top, going down through catchment scale models, to regional and national scale models.</w:t>
            </w:r>
          </w:p>
          <w:p w14:paraId="4F356962" w14:textId="77777777" w:rsidR="00F66ADA" w:rsidRPr="00BA5289" w:rsidRDefault="00F66ADA" w:rsidP="00E9389C">
            <w:pPr>
              <w:jc w:val="both"/>
              <w:rPr>
                <w:rFonts w:ascii="Arial" w:hAnsi="Arial" w:cs="Arial"/>
                <w:sz w:val="22"/>
                <w:szCs w:val="22"/>
              </w:rPr>
            </w:pPr>
            <w:r w:rsidRPr="00684623">
              <w:rPr>
                <w:rFonts w:ascii="Arial" w:hAnsi="Arial" w:cs="Arial"/>
                <w:b/>
                <w:bCs/>
                <w:sz w:val="22"/>
                <w:szCs w:val="22"/>
              </w:rPr>
              <w:t>Objectives</w:t>
            </w:r>
            <w:r>
              <w:rPr>
                <w:rFonts w:ascii="Arial" w:hAnsi="Arial" w:cs="Arial"/>
                <w:b/>
                <w:bCs/>
                <w:sz w:val="22"/>
                <w:szCs w:val="22"/>
              </w:rPr>
              <w:t xml:space="preserve">: </w:t>
            </w:r>
            <w:r w:rsidRPr="00BA5289">
              <w:rPr>
                <w:rFonts w:ascii="Arial" w:hAnsi="Arial" w:cs="Arial"/>
                <w:sz w:val="22"/>
                <w:szCs w:val="22"/>
              </w:rPr>
              <w:t>Developing</w:t>
            </w:r>
            <w:r>
              <w:rPr>
                <w:rFonts w:ascii="Arial" w:hAnsi="Arial" w:cs="Arial"/>
                <w:sz w:val="22"/>
                <w:szCs w:val="22"/>
              </w:rPr>
              <w:t xml:space="preserve"> a system to create consistent national level maps of flood hazard that can be used at the base of the hierarchy of models as well as vulnerability functions for a range of assets to enable assessment of flooding impacts to provide risk information. This hazard and risk data provide vital information in locations where no other information exists as well as a screening for where further flood investigations might be needed. It also provides results based on a consistent methodology so intercomparisons can be made between regions. </w:t>
            </w:r>
          </w:p>
          <w:p w14:paraId="4F18B170" w14:textId="77777777" w:rsidR="00F66ADA" w:rsidRPr="002140BD" w:rsidRDefault="00F66ADA" w:rsidP="00E9389C">
            <w:pPr>
              <w:jc w:val="both"/>
              <w:rPr>
                <w:rFonts w:ascii="Arial" w:hAnsi="Arial" w:cs="Arial"/>
                <w:sz w:val="22"/>
                <w:szCs w:val="22"/>
              </w:rPr>
            </w:pPr>
            <w:r w:rsidRPr="00684623">
              <w:rPr>
                <w:rFonts w:ascii="Arial" w:hAnsi="Arial" w:cs="Arial"/>
                <w:b/>
                <w:bCs/>
                <w:sz w:val="22"/>
                <w:szCs w:val="22"/>
              </w:rPr>
              <w:t>Methodology</w:t>
            </w:r>
            <w:r>
              <w:rPr>
                <w:rFonts w:ascii="Arial" w:hAnsi="Arial" w:cs="Arial"/>
                <w:b/>
                <w:bCs/>
                <w:sz w:val="22"/>
                <w:szCs w:val="22"/>
              </w:rPr>
              <w:t xml:space="preserve">: </w:t>
            </w:r>
            <w:r>
              <w:rPr>
                <w:rFonts w:ascii="Arial" w:hAnsi="Arial" w:cs="Arial"/>
                <w:sz w:val="22"/>
                <w:szCs w:val="22"/>
              </w:rPr>
              <w:t>This work is based on iterative improvement, creating a semi-automated system to map hazard and risk. It ingests LiDAR and other geographic information to create hydrologically conditioned DEMs, uses rainfall information from HIRDS (High Intensity Rainfall Design System) to create current or future design rainstorms, models the flows hydrologically in the upper catchment and then hydrodynamically on the flood plain before putting the results through RiskScape to calculate risk metrics.</w:t>
            </w:r>
          </w:p>
          <w:p w14:paraId="015BF18E" w14:textId="77777777" w:rsidR="00F66ADA" w:rsidRPr="001305B1" w:rsidRDefault="00F66ADA" w:rsidP="00E9389C">
            <w:pPr>
              <w:jc w:val="both"/>
              <w:rPr>
                <w:rFonts w:ascii="Arial" w:hAnsi="Arial" w:cs="Arial"/>
                <w:sz w:val="22"/>
                <w:szCs w:val="22"/>
              </w:rPr>
            </w:pPr>
            <w:r w:rsidRPr="00684623">
              <w:rPr>
                <w:rFonts w:ascii="Arial" w:hAnsi="Arial" w:cs="Arial"/>
                <w:b/>
                <w:bCs/>
                <w:sz w:val="22"/>
                <w:szCs w:val="22"/>
              </w:rPr>
              <w:t>Findings</w:t>
            </w:r>
            <w:r>
              <w:rPr>
                <w:rFonts w:ascii="Arial" w:hAnsi="Arial" w:cs="Arial"/>
                <w:b/>
                <w:bCs/>
                <w:sz w:val="22"/>
                <w:szCs w:val="22"/>
              </w:rPr>
              <w:t xml:space="preserve">: </w:t>
            </w:r>
            <w:r w:rsidRPr="001305B1">
              <w:rPr>
                <w:rFonts w:ascii="Arial" w:hAnsi="Arial" w:cs="Arial"/>
                <w:sz w:val="22"/>
                <w:szCs w:val="22"/>
              </w:rPr>
              <w:t xml:space="preserve">This </w:t>
            </w:r>
            <w:r>
              <w:rPr>
                <w:rFonts w:ascii="Arial" w:hAnsi="Arial" w:cs="Arial"/>
                <w:sz w:val="22"/>
                <w:szCs w:val="22"/>
              </w:rPr>
              <w:t>system has produced consistent flood maps for Aotearoa to allow national agencies, regional practitioners and others to understand the overall hazard and risk from Aotearoa’s most frequent natural hazard.</w:t>
            </w:r>
          </w:p>
          <w:p w14:paraId="3F4E7C39" w14:textId="77777777" w:rsidR="00F66ADA" w:rsidRPr="00684623" w:rsidRDefault="00F66ADA" w:rsidP="004828A0">
            <w:pPr>
              <w:jc w:val="both"/>
              <w:rPr>
                <w:rFonts w:ascii="Arial" w:hAnsi="Arial" w:cs="Arial"/>
                <w:b/>
                <w:sz w:val="22"/>
                <w:szCs w:val="22"/>
              </w:rPr>
            </w:pPr>
          </w:p>
          <w:p w14:paraId="410073EB" w14:textId="77777777" w:rsidR="00F66ADA" w:rsidRPr="00684623" w:rsidRDefault="00F66ADA" w:rsidP="006D4A81">
            <w:pPr>
              <w:jc w:val="both"/>
              <w:rPr>
                <w:rFonts w:ascii="Arial" w:hAnsi="Arial" w:cs="Arial"/>
                <w:b/>
                <w:sz w:val="22"/>
                <w:szCs w:val="22"/>
                <w:u w:val="single"/>
              </w:rPr>
            </w:pPr>
            <w:r w:rsidRPr="00684623">
              <w:rPr>
                <w:rFonts w:ascii="Arial" w:hAnsi="Arial" w:cs="Arial"/>
                <w:b/>
                <w:sz w:val="22"/>
                <w:szCs w:val="22"/>
                <w:u w:val="single"/>
              </w:rPr>
              <w:t>Panellist 2</w:t>
            </w:r>
          </w:p>
          <w:p w14:paraId="496BE22D" w14:textId="77777777" w:rsidR="00F66ADA" w:rsidRPr="00684623" w:rsidRDefault="00F66ADA" w:rsidP="006D4A81">
            <w:pPr>
              <w:jc w:val="both"/>
              <w:rPr>
                <w:rFonts w:ascii="Arial" w:hAnsi="Arial" w:cs="Arial"/>
                <w:bCs/>
                <w:sz w:val="22"/>
                <w:szCs w:val="22"/>
              </w:rPr>
            </w:pPr>
            <w:r w:rsidRPr="00684623">
              <w:rPr>
                <w:rFonts w:ascii="Arial" w:hAnsi="Arial" w:cs="Arial"/>
                <w:b/>
                <w:sz w:val="22"/>
                <w:szCs w:val="22"/>
              </w:rPr>
              <w:t xml:space="preserve">Full Name: </w:t>
            </w:r>
            <w:r w:rsidRPr="00684623">
              <w:rPr>
                <w:rFonts w:ascii="Arial" w:hAnsi="Arial" w:cs="Arial"/>
                <w:bCs/>
                <w:sz w:val="22"/>
                <w:szCs w:val="22"/>
              </w:rPr>
              <w:t>Dr Alvina Edwards</w:t>
            </w:r>
          </w:p>
          <w:p w14:paraId="4AD0B017" w14:textId="77777777" w:rsidR="00F66ADA" w:rsidRPr="00684623" w:rsidRDefault="00F66ADA" w:rsidP="006D4A81">
            <w:pPr>
              <w:jc w:val="both"/>
              <w:rPr>
                <w:rFonts w:ascii="Arial" w:hAnsi="Arial" w:cs="Arial"/>
                <w:b/>
                <w:sz w:val="22"/>
                <w:szCs w:val="22"/>
              </w:rPr>
            </w:pPr>
            <w:r w:rsidRPr="00684623">
              <w:rPr>
                <w:rFonts w:ascii="Arial" w:hAnsi="Arial" w:cs="Arial"/>
                <w:b/>
                <w:sz w:val="22"/>
                <w:szCs w:val="22"/>
              </w:rPr>
              <w:t xml:space="preserve">Organisation: </w:t>
            </w:r>
            <w:r w:rsidRPr="00684623">
              <w:rPr>
                <w:rFonts w:ascii="Arial" w:hAnsi="Arial" w:cs="Arial"/>
                <w:bCs/>
                <w:sz w:val="22"/>
                <w:szCs w:val="22"/>
              </w:rPr>
              <w:t xml:space="preserve">Ngāti </w:t>
            </w:r>
            <w:proofErr w:type="spellStart"/>
            <w:r w:rsidRPr="00684623">
              <w:rPr>
                <w:rFonts w:ascii="Arial" w:hAnsi="Arial" w:cs="Arial"/>
                <w:bCs/>
                <w:sz w:val="22"/>
                <w:szCs w:val="22"/>
              </w:rPr>
              <w:t>Irakehu</w:t>
            </w:r>
            <w:proofErr w:type="spellEnd"/>
            <w:r w:rsidRPr="00684623">
              <w:rPr>
                <w:rFonts w:ascii="Arial" w:hAnsi="Arial" w:cs="Arial"/>
                <w:bCs/>
                <w:sz w:val="22"/>
                <w:szCs w:val="22"/>
              </w:rPr>
              <w:t xml:space="preserve"> – Te </w:t>
            </w:r>
            <w:proofErr w:type="spellStart"/>
            <w:r w:rsidRPr="00684623">
              <w:rPr>
                <w:rFonts w:ascii="Arial" w:hAnsi="Arial" w:cs="Arial"/>
                <w:bCs/>
                <w:sz w:val="22"/>
                <w:szCs w:val="22"/>
              </w:rPr>
              <w:t>Taumutu</w:t>
            </w:r>
            <w:proofErr w:type="spellEnd"/>
            <w:r w:rsidRPr="00684623">
              <w:rPr>
                <w:rFonts w:ascii="Arial" w:hAnsi="Arial" w:cs="Arial"/>
                <w:bCs/>
                <w:sz w:val="22"/>
                <w:szCs w:val="22"/>
              </w:rPr>
              <w:t xml:space="preserve">, </w:t>
            </w:r>
            <w:proofErr w:type="spellStart"/>
            <w:r w:rsidRPr="00684623">
              <w:rPr>
                <w:rFonts w:ascii="Arial" w:hAnsi="Arial" w:cs="Arial"/>
                <w:bCs/>
                <w:sz w:val="22"/>
                <w:szCs w:val="22"/>
              </w:rPr>
              <w:t>Ōnuku</w:t>
            </w:r>
            <w:proofErr w:type="spellEnd"/>
            <w:r w:rsidRPr="00684623">
              <w:rPr>
                <w:rFonts w:ascii="Arial" w:hAnsi="Arial" w:cs="Arial"/>
                <w:bCs/>
                <w:sz w:val="22"/>
                <w:szCs w:val="22"/>
              </w:rPr>
              <w:t xml:space="preserve">, </w:t>
            </w:r>
            <w:proofErr w:type="spellStart"/>
            <w:r w:rsidRPr="00684623">
              <w:rPr>
                <w:rFonts w:ascii="Arial" w:hAnsi="Arial" w:cs="Arial"/>
                <w:bCs/>
                <w:sz w:val="22"/>
                <w:szCs w:val="22"/>
              </w:rPr>
              <w:t>Wairewa</w:t>
            </w:r>
            <w:proofErr w:type="spellEnd"/>
            <w:r w:rsidRPr="00684623">
              <w:rPr>
                <w:rFonts w:ascii="Arial" w:hAnsi="Arial" w:cs="Arial"/>
                <w:bCs/>
                <w:sz w:val="22"/>
                <w:szCs w:val="22"/>
              </w:rPr>
              <w:t>.</w:t>
            </w:r>
          </w:p>
          <w:p w14:paraId="430030BB" w14:textId="77777777" w:rsidR="00F66ADA" w:rsidRPr="00684623" w:rsidRDefault="00F66ADA" w:rsidP="00517DDF">
            <w:pPr>
              <w:jc w:val="both"/>
              <w:rPr>
                <w:rFonts w:ascii="Arial" w:hAnsi="Arial" w:cs="Arial"/>
                <w:b/>
                <w:sz w:val="22"/>
                <w:szCs w:val="22"/>
              </w:rPr>
            </w:pPr>
            <w:r w:rsidRPr="00684623">
              <w:rPr>
                <w:rFonts w:ascii="Arial" w:hAnsi="Arial" w:cs="Arial"/>
                <w:b/>
                <w:sz w:val="22"/>
                <w:szCs w:val="22"/>
              </w:rPr>
              <w:t>Bio</w:t>
            </w:r>
          </w:p>
          <w:p w14:paraId="795A4F9F" w14:textId="77777777" w:rsidR="00F66ADA" w:rsidRPr="00684623" w:rsidRDefault="00F66ADA" w:rsidP="00CB4746">
            <w:pPr>
              <w:jc w:val="both"/>
              <w:rPr>
                <w:rFonts w:ascii="Arial" w:hAnsi="Arial" w:cs="Arial"/>
                <w:sz w:val="22"/>
                <w:szCs w:val="22"/>
              </w:rPr>
            </w:pPr>
            <w:r w:rsidRPr="00684623">
              <w:rPr>
                <w:rFonts w:ascii="Arial" w:hAnsi="Arial" w:cs="Arial"/>
                <w:sz w:val="22"/>
                <w:szCs w:val="22"/>
              </w:rPr>
              <w:t xml:space="preserve">Alvina is a scholar with degrees in law, </w:t>
            </w:r>
            <w:r>
              <w:rPr>
                <w:rFonts w:ascii="Arial" w:hAnsi="Arial" w:cs="Arial"/>
                <w:sz w:val="22"/>
                <w:szCs w:val="22"/>
              </w:rPr>
              <w:t>h</w:t>
            </w:r>
            <w:r w:rsidRPr="00684623">
              <w:rPr>
                <w:rFonts w:ascii="Arial" w:hAnsi="Arial" w:cs="Arial"/>
                <w:sz w:val="22"/>
                <w:szCs w:val="22"/>
              </w:rPr>
              <w:t>istory, and Māori studies (PhD, Waikato). Her career combines academia and community service as a Māori mentor, researcher, and advocate. Her work on Māori identity, legal frameworks, and social justice demonstrates her commitment to cultural preservation and improving Māori representation and well-being.</w:t>
            </w:r>
          </w:p>
          <w:p w14:paraId="18AD70DD" w14:textId="77777777" w:rsidR="00F66ADA" w:rsidRPr="00684623" w:rsidRDefault="00F66ADA" w:rsidP="00295872">
            <w:pPr>
              <w:jc w:val="both"/>
              <w:rPr>
                <w:rFonts w:ascii="Arial" w:hAnsi="Arial" w:cs="Arial"/>
                <w:b/>
                <w:sz w:val="22"/>
                <w:szCs w:val="22"/>
              </w:rPr>
            </w:pPr>
          </w:p>
          <w:p w14:paraId="50CF898E" w14:textId="48D0EEE7" w:rsidR="00F66ADA" w:rsidRPr="00684623" w:rsidRDefault="00F66ADA" w:rsidP="00295872">
            <w:pPr>
              <w:jc w:val="both"/>
              <w:rPr>
                <w:rFonts w:ascii="Arial" w:hAnsi="Arial" w:cs="Arial"/>
                <w:b/>
                <w:sz w:val="22"/>
                <w:szCs w:val="22"/>
              </w:rPr>
            </w:pPr>
            <w:r w:rsidRPr="00684623">
              <w:rPr>
                <w:rFonts w:ascii="Arial" w:hAnsi="Arial" w:cs="Arial"/>
                <w:b/>
                <w:sz w:val="22"/>
                <w:szCs w:val="22"/>
              </w:rPr>
              <w:t>Presentation 2</w:t>
            </w:r>
          </w:p>
          <w:p w14:paraId="44DCDA10" w14:textId="77777777" w:rsidR="00F66ADA" w:rsidRPr="00684623" w:rsidRDefault="00F66ADA" w:rsidP="00E72EE9">
            <w:pPr>
              <w:spacing w:line="276" w:lineRule="auto"/>
              <w:rPr>
                <w:rFonts w:ascii="Arial" w:hAnsi="Arial" w:cs="Arial"/>
                <w:sz w:val="22"/>
                <w:szCs w:val="22"/>
              </w:rPr>
            </w:pPr>
            <w:r w:rsidRPr="00684623">
              <w:rPr>
                <w:rFonts w:ascii="Arial" w:hAnsi="Arial" w:cs="Arial"/>
                <w:sz w:val="22"/>
                <w:szCs w:val="22"/>
              </w:rPr>
              <w:t>The Tides of Wairewa - Navigating Whenua and Whānau: The development and application of Te Tuna o Wairewa conceptual framework and methodology.</w:t>
            </w:r>
          </w:p>
          <w:p w14:paraId="67A66A9B" w14:textId="77777777" w:rsidR="00F66ADA" w:rsidRPr="00684623" w:rsidRDefault="00F66ADA" w:rsidP="00E72EE9">
            <w:pPr>
              <w:spacing w:line="276" w:lineRule="auto"/>
              <w:rPr>
                <w:rFonts w:ascii="Arial" w:hAnsi="Arial" w:cs="Arial"/>
                <w:sz w:val="22"/>
                <w:szCs w:val="22"/>
              </w:rPr>
            </w:pPr>
          </w:p>
          <w:p w14:paraId="7654B17E" w14:textId="77777777" w:rsidR="00F66ADA" w:rsidRPr="00684623" w:rsidRDefault="00F66ADA" w:rsidP="00A609CA">
            <w:pPr>
              <w:jc w:val="both"/>
              <w:rPr>
                <w:rFonts w:ascii="Arial" w:hAnsi="Arial" w:cs="Arial"/>
                <w:bCs/>
                <w:sz w:val="22"/>
                <w:szCs w:val="22"/>
              </w:rPr>
            </w:pPr>
            <w:r w:rsidRPr="00684623">
              <w:rPr>
                <w:rFonts w:ascii="Arial" w:hAnsi="Arial" w:cs="Arial"/>
                <w:b/>
                <w:bCs/>
                <w:sz w:val="22"/>
                <w:szCs w:val="22"/>
              </w:rPr>
              <w:t>Panellist 2 Contribution:</w:t>
            </w:r>
          </w:p>
          <w:p w14:paraId="2A2A3246" w14:textId="77777777" w:rsidR="00F66ADA" w:rsidRPr="00684623" w:rsidRDefault="00F66ADA" w:rsidP="00C15AFF">
            <w:pPr>
              <w:rPr>
                <w:rFonts w:ascii="Arial" w:hAnsi="Arial" w:cs="Arial"/>
                <w:sz w:val="22"/>
                <w:szCs w:val="22"/>
              </w:rPr>
            </w:pPr>
            <w:r w:rsidRPr="00684623">
              <w:rPr>
                <w:rStyle w:val="Strong"/>
                <w:rFonts w:ascii="Arial" w:hAnsi="Arial" w:cs="Arial"/>
                <w:sz w:val="22"/>
                <w:szCs w:val="22"/>
              </w:rPr>
              <w:t xml:space="preserve">Introduction: </w:t>
            </w:r>
            <w:r w:rsidRPr="00684623">
              <w:rPr>
                <w:rFonts w:ascii="Arial" w:hAnsi="Arial" w:cs="Arial"/>
                <w:sz w:val="22"/>
                <w:szCs w:val="22"/>
              </w:rPr>
              <w:t xml:space="preserve">Where the awa embraces the whenua, where the echoes of our </w:t>
            </w:r>
            <w:proofErr w:type="spellStart"/>
            <w:r w:rsidRPr="00684623">
              <w:rPr>
                <w:rFonts w:ascii="Arial" w:hAnsi="Arial" w:cs="Arial"/>
                <w:sz w:val="22"/>
                <w:szCs w:val="22"/>
              </w:rPr>
              <w:t>tīpuna</w:t>
            </w:r>
            <w:proofErr w:type="spellEnd"/>
            <w:r w:rsidRPr="00684623">
              <w:rPr>
                <w:rFonts w:ascii="Arial" w:hAnsi="Arial" w:cs="Arial"/>
                <w:sz w:val="22"/>
                <w:szCs w:val="22"/>
              </w:rPr>
              <w:t xml:space="preserve"> guide the footsteps of our mokopuna, the mana whenua of Wairewa have upheld a tradition of resilience. </w:t>
            </w:r>
            <w:r w:rsidRPr="00684623">
              <w:rPr>
                <w:rStyle w:val="Strong"/>
                <w:rFonts w:ascii="Arial" w:hAnsi="Arial" w:cs="Arial"/>
                <w:sz w:val="22"/>
                <w:szCs w:val="22"/>
              </w:rPr>
              <w:t>Te Tuna o Wairewa</w:t>
            </w:r>
            <w:r w:rsidRPr="00684623">
              <w:rPr>
                <w:rFonts w:ascii="Arial" w:hAnsi="Arial" w:cs="Arial"/>
                <w:sz w:val="22"/>
                <w:szCs w:val="22"/>
              </w:rPr>
              <w:t xml:space="preserve"> is more than a strategy, it is a living expression of whakapapa, shaped by the </w:t>
            </w:r>
            <w:proofErr w:type="spellStart"/>
            <w:r w:rsidRPr="00684623">
              <w:rPr>
                <w:rStyle w:val="Strong"/>
                <w:rFonts w:ascii="Arial" w:hAnsi="Arial" w:cs="Arial"/>
                <w:sz w:val="22"/>
                <w:szCs w:val="22"/>
              </w:rPr>
              <w:t>mātauranga</w:t>
            </w:r>
            <w:proofErr w:type="spellEnd"/>
            <w:r w:rsidRPr="00684623">
              <w:rPr>
                <w:rFonts w:ascii="Arial" w:hAnsi="Arial" w:cs="Arial"/>
                <w:sz w:val="22"/>
                <w:szCs w:val="22"/>
              </w:rPr>
              <w:t xml:space="preserve"> of our </w:t>
            </w:r>
            <w:proofErr w:type="spellStart"/>
            <w:r w:rsidRPr="00684623">
              <w:rPr>
                <w:rFonts w:ascii="Arial" w:hAnsi="Arial" w:cs="Arial"/>
                <w:sz w:val="22"/>
                <w:szCs w:val="22"/>
              </w:rPr>
              <w:t>tūpuna</w:t>
            </w:r>
            <w:proofErr w:type="spellEnd"/>
            <w:r w:rsidRPr="00684623">
              <w:rPr>
                <w:rFonts w:ascii="Arial" w:hAnsi="Arial" w:cs="Arial"/>
                <w:sz w:val="22"/>
                <w:szCs w:val="22"/>
              </w:rPr>
              <w:t xml:space="preserve"> and the practicality of today’s environmental shifts.</w:t>
            </w:r>
          </w:p>
          <w:p w14:paraId="2FD778E1" w14:textId="77777777" w:rsidR="00F66ADA" w:rsidRPr="00684623" w:rsidRDefault="00F66ADA" w:rsidP="00C15AFF">
            <w:pPr>
              <w:rPr>
                <w:rFonts w:ascii="Arial" w:hAnsi="Arial" w:cs="Arial"/>
                <w:sz w:val="22"/>
                <w:szCs w:val="22"/>
              </w:rPr>
            </w:pPr>
            <w:r w:rsidRPr="00684623">
              <w:rPr>
                <w:rStyle w:val="Strong"/>
                <w:rFonts w:ascii="Arial" w:hAnsi="Arial" w:cs="Arial"/>
                <w:sz w:val="22"/>
                <w:szCs w:val="22"/>
              </w:rPr>
              <w:t xml:space="preserve">Objectives: </w:t>
            </w:r>
            <w:r w:rsidRPr="00684623">
              <w:rPr>
                <w:rFonts w:ascii="Arial" w:hAnsi="Arial" w:cs="Arial"/>
                <w:sz w:val="22"/>
                <w:szCs w:val="22"/>
              </w:rPr>
              <w:t xml:space="preserve">Developing tools that redefine </w:t>
            </w:r>
            <w:r w:rsidRPr="00684623">
              <w:rPr>
                <w:rStyle w:val="Strong"/>
                <w:rFonts w:ascii="Arial" w:hAnsi="Arial" w:cs="Arial"/>
                <w:sz w:val="22"/>
                <w:szCs w:val="22"/>
              </w:rPr>
              <w:t>environmental resilience</w:t>
            </w:r>
            <w:r w:rsidRPr="00684623">
              <w:rPr>
                <w:rFonts w:ascii="Arial" w:hAnsi="Arial" w:cs="Arial"/>
                <w:sz w:val="22"/>
                <w:szCs w:val="22"/>
              </w:rPr>
              <w:t xml:space="preserve"> through cultural grounding. This approach addresses </w:t>
            </w:r>
            <w:r w:rsidRPr="00684623">
              <w:rPr>
                <w:rStyle w:val="Strong"/>
                <w:rFonts w:ascii="Arial" w:hAnsi="Arial" w:cs="Arial"/>
                <w:sz w:val="22"/>
                <w:szCs w:val="22"/>
              </w:rPr>
              <w:t>flooding and environmental challenges</w:t>
            </w:r>
            <w:r w:rsidRPr="00684623">
              <w:rPr>
                <w:rFonts w:ascii="Arial" w:hAnsi="Arial" w:cs="Arial"/>
                <w:sz w:val="22"/>
                <w:szCs w:val="22"/>
              </w:rPr>
              <w:t xml:space="preserve"> by honouring </w:t>
            </w:r>
            <w:r w:rsidRPr="00684623">
              <w:rPr>
                <w:rStyle w:val="Strong"/>
                <w:rFonts w:ascii="Arial" w:hAnsi="Arial" w:cs="Arial"/>
                <w:sz w:val="22"/>
                <w:szCs w:val="22"/>
              </w:rPr>
              <w:t xml:space="preserve">mātauranga Māori, upholding the mana of wāhi </w:t>
            </w:r>
            <w:proofErr w:type="spellStart"/>
            <w:r w:rsidRPr="00684623">
              <w:rPr>
                <w:rStyle w:val="Strong"/>
                <w:rFonts w:ascii="Arial" w:hAnsi="Arial" w:cs="Arial"/>
                <w:sz w:val="22"/>
                <w:szCs w:val="22"/>
              </w:rPr>
              <w:t>tapu</w:t>
            </w:r>
            <w:proofErr w:type="spellEnd"/>
            <w:r w:rsidRPr="00684623">
              <w:rPr>
                <w:rStyle w:val="Strong"/>
                <w:rFonts w:ascii="Arial" w:hAnsi="Arial" w:cs="Arial"/>
                <w:sz w:val="22"/>
                <w:szCs w:val="22"/>
              </w:rPr>
              <w:t xml:space="preserve">, and </w:t>
            </w:r>
            <w:r w:rsidRPr="00684623">
              <w:rPr>
                <w:rStyle w:val="Strong"/>
                <w:rFonts w:ascii="Arial" w:hAnsi="Arial" w:cs="Arial"/>
                <w:sz w:val="22"/>
                <w:szCs w:val="22"/>
              </w:rPr>
              <w:lastRenderedPageBreak/>
              <w:t xml:space="preserve">safeguarding </w:t>
            </w:r>
            <w:proofErr w:type="spellStart"/>
            <w:r w:rsidRPr="00684623">
              <w:rPr>
                <w:rStyle w:val="Strong"/>
                <w:rFonts w:ascii="Arial" w:hAnsi="Arial" w:cs="Arial"/>
                <w:sz w:val="22"/>
                <w:szCs w:val="22"/>
              </w:rPr>
              <w:t>mahinga</w:t>
            </w:r>
            <w:proofErr w:type="spellEnd"/>
            <w:r w:rsidRPr="00684623">
              <w:rPr>
                <w:rStyle w:val="Strong"/>
                <w:rFonts w:ascii="Arial" w:hAnsi="Arial" w:cs="Arial"/>
                <w:sz w:val="22"/>
                <w:szCs w:val="22"/>
              </w:rPr>
              <w:t xml:space="preserve"> kai sources</w:t>
            </w:r>
            <w:r w:rsidRPr="00684623">
              <w:rPr>
                <w:rFonts w:ascii="Arial" w:hAnsi="Arial" w:cs="Arial"/>
                <w:sz w:val="22"/>
                <w:szCs w:val="22"/>
              </w:rPr>
              <w:t xml:space="preserve">. Weaving </w:t>
            </w:r>
            <w:r w:rsidRPr="00684623">
              <w:rPr>
                <w:rStyle w:val="Strong"/>
                <w:rFonts w:ascii="Arial" w:hAnsi="Arial" w:cs="Arial"/>
                <w:sz w:val="22"/>
                <w:szCs w:val="22"/>
              </w:rPr>
              <w:t>Indigenous knowledge with Western science</w:t>
            </w:r>
            <w:r w:rsidRPr="00684623">
              <w:rPr>
                <w:rFonts w:ascii="Arial" w:hAnsi="Arial" w:cs="Arial"/>
                <w:sz w:val="22"/>
                <w:szCs w:val="22"/>
              </w:rPr>
              <w:t>, we establish</w:t>
            </w:r>
            <w:r w:rsidRPr="00684623">
              <w:rPr>
                <w:rStyle w:val="Strong"/>
                <w:rFonts w:ascii="Arial" w:hAnsi="Arial" w:cs="Arial"/>
                <w:sz w:val="22"/>
                <w:szCs w:val="22"/>
              </w:rPr>
              <w:t xml:space="preserve"> sustainability, strengthen community-led </w:t>
            </w:r>
            <w:proofErr w:type="spellStart"/>
            <w:r w:rsidRPr="00684623">
              <w:rPr>
                <w:rStyle w:val="Strong"/>
                <w:rFonts w:ascii="Arial" w:hAnsi="Arial" w:cs="Arial"/>
                <w:sz w:val="22"/>
                <w:szCs w:val="22"/>
              </w:rPr>
              <w:t>kaitiakitanga</w:t>
            </w:r>
            <w:proofErr w:type="spellEnd"/>
            <w:r w:rsidRPr="00684623">
              <w:rPr>
                <w:rStyle w:val="Strong"/>
                <w:rFonts w:ascii="Arial" w:hAnsi="Arial" w:cs="Arial"/>
                <w:sz w:val="22"/>
                <w:szCs w:val="22"/>
              </w:rPr>
              <w:t xml:space="preserve"> practices</w:t>
            </w:r>
            <w:r w:rsidRPr="00684623">
              <w:rPr>
                <w:rFonts w:ascii="Arial" w:hAnsi="Arial" w:cs="Arial"/>
                <w:sz w:val="22"/>
                <w:szCs w:val="22"/>
              </w:rPr>
              <w:t xml:space="preserve">, and secure </w:t>
            </w:r>
            <w:r w:rsidRPr="00684623">
              <w:rPr>
                <w:rStyle w:val="Strong"/>
                <w:rFonts w:ascii="Arial" w:hAnsi="Arial" w:cs="Arial"/>
                <w:sz w:val="22"/>
                <w:szCs w:val="22"/>
              </w:rPr>
              <w:t>intergenerational wellbeing</w:t>
            </w:r>
            <w:r w:rsidRPr="00684623">
              <w:rPr>
                <w:rFonts w:ascii="Arial" w:hAnsi="Arial" w:cs="Arial"/>
                <w:sz w:val="22"/>
                <w:szCs w:val="22"/>
              </w:rPr>
              <w:t xml:space="preserve">, while developing </w:t>
            </w:r>
            <w:r w:rsidRPr="00684623">
              <w:rPr>
                <w:rStyle w:val="Strong"/>
                <w:rFonts w:ascii="Arial" w:hAnsi="Arial" w:cs="Arial"/>
                <w:sz w:val="22"/>
                <w:szCs w:val="22"/>
              </w:rPr>
              <w:t>adaptable solutions that honour the spiritual and physical bond between tangata and whenua</w:t>
            </w:r>
            <w:r w:rsidRPr="00684623">
              <w:rPr>
                <w:rFonts w:ascii="Arial" w:hAnsi="Arial" w:cs="Arial"/>
                <w:sz w:val="22"/>
                <w:szCs w:val="22"/>
              </w:rPr>
              <w:t>.</w:t>
            </w:r>
          </w:p>
          <w:p w14:paraId="78451438" w14:textId="77777777" w:rsidR="00F66ADA" w:rsidRPr="00684623" w:rsidRDefault="00F66ADA" w:rsidP="00C15AFF">
            <w:pPr>
              <w:rPr>
                <w:rFonts w:ascii="Arial" w:hAnsi="Arial" w:cs="Arial"/>
                <w:sz w:val="22"/>
                <w:szCs w:val="22"/>
              </w:rPr>
            </w:pPr>
            <w:r w:rsidRPr="00684623">
              <w:rPr>
                <w:rStyle w:val="Strong"/>
                <w:rFonts w:ascii="Arial" w:hAnsi="Arial" w:cs="Arial"/>
                <w:sz w:val="22"/>
                <w:szCs w:val="22"/>
              </w:rPr>
              <w:t xml:space="preserve">Methodology: </w:t>
            </w:r>
            <w:r w:rsidRPr="00684623">
              <w:rPr>
                <w:rFonts w:ascii="Arial" w:hAnsi="Arial" w:cs="Arial"/>
                <w:sz w:val="22"/>
                <w:szCs w:val="22"/>
              </w:rPr>
              <w:t xml:space="preserve">Established in </w:t>
            </w:r>
            <w:proofErr w:type="spellStart"/>
            <w:r w:rsidRPr="00684623">
              <w:rPr>
                <w:rStyle w:val="Strong"/>
                <w:rFonts w:ascii="Arial" w:hAnsi="Arial" w:cs="Arial"/>
                <w:sz w:val="22"/>
                <w:szCs w:val="22"/>
              </w:rPr>
              <w:t>pūrākau</w:t>
            </w:r>
            <w:proofErr w:type="spellEnd"/>
            <w:r w:rsidRPr="00684623">
              <w:rPr>
                <w:rStyle w:val="Strong"/>
                <w:rFonts w:ascii="Arial" w:hAnsi="Arial" w:cs="Arial"/>
                <w:sz w:val="22"/>
                <w:szCs w:val="22"/>
              </w:rPr>
              <w:t xml:space="preserve"> and </w:t>
            </w:r>
            <w:proofErr w:type="spellStart"/>
            <w:r w:rsidRPr="00684623">
              <w:rPr>
                <w:rStyle w:val="Strong"/>
                <w:rFonts w:ascii="Arial" w:hAnsi="Arial" w:cs="Arial"/>
                <w:sz w:val="22"/>
                <w:szCs w:val="22"/>
              </w:rPr>
              <w:t>mātauranga</w:t>
            </w:r>
            <w:proofErr w:type="spellEnd"/>
            <w:r w:rsidRPr="00684623">
              <w:rPr>
                <w:rStyle w:val="Strong"/>
                <w:rFonts w:ascii="Arial" w:hAnsi="Arial" w:cs="Arial"/>
                <w:sz w:val="22"/>
                <w:szCs w:val="22"/>
              </w:rPr>
              <w:t xml:space="preserve"> Māori</w:t>
            </w:r>
            <w:r w:rsidRPr="00684623">
              <w:rPr>
                <w:rFonts w:ascii="Arial" w:hAnsi="Arial" w:cs="Arial"/>
                <w:sz w:val="22"/>
                <w:szCs w:val="22"/>
              </w:rPr>
              <w:t xml:space="preserve">, this approach </w:t>
            </w:r>
            <w:r w:rsidRPr="00684623">
              <w:rPr>
                <w:rStyle w:val="Strong"/>
                <w:rFonts w:ascii="Arial" w:hAnsi="Arial" w:cs="Arial"/>
                <w:sz w:val="22"/>
                <w:szCs w:val="22"/>
              </w:rPr>
              <w:t>converts scientific data into meaningful narratives</w:t>
            </w:r>
            <w:r w:rsidRPr="00684623">
              <w:rPr>
                <w:rFonts w:ascii="Arial" w:hAnsi="Arial" w:cs="Arial"/>
                <w:sz w:val="22"/>
                <w:szCs w:val="22"/>
              </w:rPr>
              <w:t xml:space="preserve"> within the </w:t>
            </w:r>
            <w:r w:rsidRPr="00684623">
              <w:rPr>
                <w:rStyle w:val="Strong"/>
                <w:rFonts w:ascii="Arial" w:hAnsi="Arial" w:cs="Arial"/>
                <w:sz w:val="22"/>
                <w:szCs w:val="22"/>
              </w:rPr>
              <w:t>Wairewa worldview</w:t>
            </w:r>
            <w:r w:rsidRPr="00684623">
              <w:rPr>
                <w:rFonts w:ascii="Arial" w:hAnsi="Arial" w:cs="Arial"/>
                <w:sz w:val="22"/>
                <w:szCs w:val="22"/>
              </w:rPr>
              <w:t xml:space="preserve">. The methodology ensures </w:t>
            </w:r>
            <w:r w:rsidRPr="00684623">
              <w:rPr>
                <w:rStyle w:val="Strong"/>
                <w:rFonts w:ascii="Arial" w:hAnsi="Arial" w:cs="Arial"/>
                <w:sz w:val="22"/>
                <w:szCs w:val="22"/>
              </w:rPr>
              <w:t>whānau</w:t>
            </w:r>
            <w:r w:rsidRPr="00684623">
              <w:rPr>
                <w:rFonts w:ascii="Arial" w:hAnsi="Arial" w:cs="Arial"/>
                <w:sz w:val="22"/>
                <w:szCs w:val="22"/>
              </w:rPr>
              <w:t xml:space="preserve"> voices remain at the </w:t>
            </w:r>
            <w:r w:rsidRPr="00684623">
              <w:rPr>
                <w:rStyle w:val="Strong"/>
                <w:rFonts w:ascii="Arial" w:hAnsi="Arial" w:cs="Arial"/>
                <w:sz w:val="22"/>
                <w:szCs w:val="22"/>
              </w:rPr>
              <w:t>soul of the Kaupapa</w:t>
            </w:r>
            <w:r w:rsidRPr="00684623">
              <w:t xml:space="preserve">, </w:t>
            </w:r>
            <w:r w:rsidRPr="00684623">
              <w:rPr>
                <w:rFonts w:ascii="Arial" w:hAnsi="Arial" w:cs="Arial"/>
                <w:sz w:val="22"/>
                <w:szCs w:val="22"/>
              </w:rPr>
              <w:t xml:space="preserve">making </w:t>
            </w:r>
            <w:r w:rsidRPr="00684623">
              <w:rPr>
                <w:rStyle w:val="Strong"/>
                <w:rFonts w:ascii="Arial" w:hAnsi="Arial" w:cs="Arial"/>
                <w:sz w:val="22"/>
                <w:szCs w:val="22"/>
              </w:rPr>
              <w:t>national hazard models accessible</w:t>
            </w:r>
            <w:r w:rsidRPr="00684623">
              <w:rPr>
                <w:rFonts w:ascii="Arial" w:hAnsi="Arial" w:cs="Arial"/>
                <w:sz w:val="22"/>
                <w:szCs w:val="22"/>
              </w:rPr>
              <w:t xml:space="preserve"> in a way that reflects </w:t>
            </w:r>
            <w:r w:rsidRPr="00684623">
              <w:rPr>
                <w:rStyle w:val="Strong"/>
                <w:rFonts w:ascii="Arial" w:hAnsi="Arial" w:cs="Arial"/>
                <w:sz w:val="22"/>
                <w:szCs w:val="22"/>
              </w:rPr>
              <w:t>cultural realities</w:t>
            </w:r>
            <w:r w:rsidRPr="00684623">
              <w:t xml:space="preserve"> - </w:t>
            </w:r>
            <w:r w:rsidRPr="00684623">
              <w:rPr>
                <w:rStyle w:val="Strong"/>
                <w:rFonts w:ascii="Arial" w:hAnsi="Arial" w:cs="Arial"/>
                <w:sz w:val="22"/>
                <w:szCs w:val="22"/>
              </w:rPr>
              <w:t>scientific knowledge within a Māori context</w:t>
            </w:r>
            <w:r w:rsidRPr="00684623">
              <w:rPr>
                <w:rFonts w:ascii="Arial" w:hAnsi="Arial" w:cs="Arial"/>
                <w:sz w:val="22"/>
                <w:szCs w:val="22"/>
              </w:rPr>
              <w:t>.</w:t>
            </w:r>
          </w:p>
          <w:p w14:paraId="0D25A94C" w14:textId="77777777" w:rsidR="00F66ADA" w:rsidRPr="00684623" w:rsidRDefault="00F66ADA" w:rsidP="00C15AFF">
            <w:r w:rsidRPr="00684623">
              <w:rPr>
                <w:rStyle w:val="Strong"/>
                <w:rFonts w:ascii="Arial" w:hAnsi="Arial" w:cs="Arial"/>
                <w:sz w:val="22"/>
                <w:szCs w:val="22"/>
              </w:rPr>
              <w:t>Findings: The methodology and framework</w:t>
            </w:r>
            <w:r w:rsidRPr="00684623">
              <w:rPr>
                <w:rFonts w:ascii="Arial" w:hAnsi="Arial" w:cs="Arial"/>
                <w:sz w:val="22"/>
                <w:szCs w:val="22"/>
              </w:rPr>
              <w:t xml:space="preserve"> demonstrate that </w:t>
            </w:r>
            <w:r w:rsidRPr="00684623">
              <w:rPr>
                <w:rStyle w:val="Strong"/>
                <w:rFonts w:ascii="Arial" w:hAnsi="Arial" w:cs="Arial"/>
                <w:sz w:val="22"/>
                <w:szCs w:val="22"/>
              </w:rPr>
              <w:t>centring cultural knowledge</w:t>
            </w:r>
            <w:r w:rsidRPr="00684623">
              <w:rPr>
                <w:rFonts w:ascii="Arial" w:hAnsi="Arial" w:cs="Arial"/>
                <w:sz w:val="22"/>
                <w:szCs w:val="22"/>
              </w:rPr>
              <w:t xml:space="preserve"> within environmental management enhances both </w:t>
            </w:r>
            <w:r w:rsidRPr="00684623">
              <w:rPr>
                <w:rStyle w:val="Strong"/>
                <w:rFonts w:ascii="Arial" w:hAnsi="Arial" w:cs="Arial"/>
                <w:sz w:val="22"/>
                <w:szCs w:val="22"/>
              </w:rPr>
              <w:t>ecological and social resilience</w:t>
            </w:r>
            <w:r w:rsidRPr="00684623">
              <w:rPr>
                <w:rFonts w:ascii="Arial" w:hAnsi="Arial" w:cs="Arial"/>
                <w:sz w:val="22"/>
                <w:szCs w:val="22"/>
              </w:rPr>
              <w:t xml:space="preserve">. By grounding </w:t>
            </w:r>
            <w:r w:rsidRPr="00684623">
              <w:rPr>
                <w:rStyle w:val="Strong"/>
                <w:rFonts w:ascii="Arial" w:hAnsi="Arial" w:cs="Arial"/>
                <w:sz w:val="22"/>
                <w:szCs w:val="22"/>
              </w:rPr>
              <w:t>flood mitigation strategies</w:t>
            </w:r>
            <w:r w:rsidRPr="00684623">
              <w:rPr>
                <w:rFonts w:ascii="Arial" w:hAnsi="Arial" w:cs="Arial"/>
                <w:sz w:val="22"/>
                <w:szCs w:val="22"/>
              </w:rPr>
              <w:t xml:space="preserve"> in </w:t>
            </w:r>
            <w:r w:rsidRPr="00684623">
              <w:rPr>
                <w:rStyle w:val="Strong"/>
                <w:rFonts w:ascii="Arial" w:hAnsi="Arial" w:cs="Arial"/>
                <w:sz w:val="22"/>
                <w:szCs w:val="22"/>
              </w:rPr>
              <w:t>whānau narratives and place-based knowledge</w:t>
            </w:r>
            <w:r w:rsidRPr="00684623">
              <w:rPr>
                <w:rFonts w:ascii="Arial" w:hAnsi="Arial" w:cs="Arial"/>
                <w:sz w:val="22"/>
                <w:szCs w:val="22"/>
              </w:rPr>
              <w:t xml:space="preserve">, Wairewa </w:t>
            </w:r>
            <w:r w:rsidRPr="00684623">
              <w:rPr>
                <w:rStyle w:val="Strong"/>
                <w:rFonts w:ascii="Arial" w:hAnsi="Arial" w:cs="Arial"/>
                <w:sz w:val="22"/>
                <w:szCs w:val="22"/>
              </w:rPr>
              <w:t>transformed environmental threats into</w:t>
            </w:r>
            <w:r w:rsidRPr="00684623">
              <w:rPr>
                <w:rFonts w:ascii="Arial" w:hAnsi="Arial" w:cs="Arial"/>
                <w:sz w:val="22"/>
                <w:szCs w:val="22"/>
              </w:rPr>
              <w:t xml:space="preserve"> </w:t>
            </w:r>
            <w:r w:rsidRPr="00684623">
              <w:rPr>
                <w:rStyle w:val="Strong"/>
                <w:rFonts w:ascii="Arial" w:hAnsi="Arial" w:cs="Arial"/>
                <w:sz w:val="22"/>
                <w:szCs w:val="22"/>
              </w:rPr>
              <w:t>innovation and collective action</w:t>
            </w:r>
            <w:r w:rsidRPr="00684623">
              <w:rPr>
                <w:rFonts w:ascii="Arial" w:hAnsi="Arial" w:cs="Arial"/>
                <w:sz w:val="22"/>
                <w:szCs w:val="22"/>
              </w:rPr>
              <w:t>. W</w:t>
            </w:r>
            <w:r w:rsidRPr="00684623">
              <w:rPr>
                <w:rStyle w:val="Strong"/>
                <w:rFonts w:ascii="Arial" w:hAnsi="Arial" w:cs="Arial"/>
                <w:sz w:val="22"/>
                <w:szCs w:val="22"/>
              </w:rPr>
              <w:t xml:space="preserve">hānau engagement in </w:t>
            </w:r>
            <w:proofErr w:type="spellStart"/>
            <w:r w:rsidRPr="00684623">
              <w:rPr>
                <w:rStyle w:val="Strong"/>
                <w:rFonts w:ascii="Arial" w:hAnsi="Arial" w:cs="Arial"/>
                <w:sz w:val="22"/>
                <w:szCs w:val="22"/>
              </w:rPr>
              <w:t>kaitiakitanga</w:t>
            </w:r>
            <w:proofErr w:type="spellEnd"/>
            <w:r w:rsidRPr="00684623">
              <w:rPr>
                <w:rStyle w:val="Strong"/>
                <w:rFonts w:ascii="Arial" w:hAnsi="Arial" w:cs="Arial"/>
                <w:sz w:val="22"/>
                <w:szCs w:val="22"/>
              </w:rPr>
              <w:t xml:space="preserve"> was strengthened</w:t>
            </w:r>
            <w:r w:rsidRPr="00684623">
              <w:rPr>
                <w:rFonts w:ascii="Arial" w:hAnsi="Arial" w:cs="Arial"/>
                <w:sz w:val="22"/>
                <w:szCs w:val="22"/>
              </w:rPr>
              <w:t xml:space="preserve">, fostering </w:t>
            </w:r>
            <w:r w:rsidRPr="00684623">
              <w:rPr>
                <w:rStyle w:val="Strong"/>
                <w:rFonts w:ascii="Arial" w:hAnsi="Arial" w:cs="Arial"/>
                <w:sz w:val="22"/>
                <w:szCs w:val="22"/>
              </w:rPr>
              <w:t>intergenerational transmission of knowledge</w:t>
            </w:r>
            <w:r w:rsidRPr="00684623">
              <w:rPr>
                <w:rFonts w:ascii="Arial" w:hAnsi="Arial" w:cs="Arial"/>
                <w:sz w:val="22"/>
                <w:szCs w:val="22"/>
              </w:rPr>
              <w:t xml:space="preserve"> and reinforcing </w:t>
            </w:r>
            <w:r w:rsidRPr="00684623">
              <w:rPr>
                <w:rStyle w:val="Strong"/>
                <w:rFonts w:ascii="Arial" w:hAnsi="Arial" w:cs="Arial"/>
                <w:sz w:val="22"/>
                <w:szCs w:val="22"/>
              </w:rPr>
              <w:t>tikanga Māori’s role in driving sustainable, whānau-led solutions</w:t>
            </w:r>
            <w:r w:rsidRPr="00684623">
              <w:rPr>
                <w:rFonts w:ascii="Arial" w:hAnsi="Arial" w:cs="Arial"/>
                <w:sz w:val="22"/>
                <w:szCs w:val="22"/>
              </w:rPr>
              <w:t xml:space="preserve">. This kaupapa highlights that when </w:t>
            </w:r>
            <w:r w:rsidRPr="00684623">
              <w:rPr>
                <w:rStyle w:val="Strong"/>
                <w:rFonts w:ascii="Arial" w:hAnsi="Arial" w:cs="Arial"/>
                <w:sz w:val="22"/>
                <w:szCs w:val="22"/>
              </w:rPr>
              <w:t>decision-making is informed by mātauranga Māori, both whenua and whānau flourish</w:t>
            </w:r>
            <w:r w:rsidRPr="00684623">
              <w:rPr>
                <w:rFonts w:ascii="Arial" w:hAnsi="Arial" w:cs="Arial"/>
                <w:sz w:val="22"/>
                <w:szCs w:val="22"/>
              </w:rPr>
              <w:t>.</w:t>
            </w:r>
          </w:p>
          <w:p w14:paraId="78DC934F" w14:textId="77777777" w:rsidR="00F66ADA" w:rsidRPr="00684623" w:rsidRDefault="00F66ADA" w:rsidP="006D4A81">
            <w:pPr>
              <w:jc w:val="both"/>
              <w:rPr>
                <w:rFonts w:ascii="Arial" w:hAnsi="Arial" w:cs="Arial"/>
                <w:b/>
                <w:bCs/>
                <w:sz w:val="22"/>
                <w:szCs w:val="22"/>
              </w:rPr>
            </w:pPr>
          </w:p>
          <w:p w14:paraId="410C4193" w14:textId="77777777" w:rsidR="00F66ADA" w:rsidRPr="00684623" w:rsidRDefault="00F66ADA" w:rsidP="006D4A81">
            <w:pPr>
              <w:jc w:val="both"/>
              <w:rPr>
                <w:rFonts w:ascii="Arial" w:hAnsi="Arial" w:cs="Arial"/>
                <w:b/>
                <w:sz w:val="22"/>
                <w:szCs w:val="22"/>
                <w:u w:val="single"/>
              </w:rPr>
            </w:pPr>
            <w:r w:rsidRPr="00684623">
              <w:rPr>
                <w:rFonts w:ascii="Arial" w:hAnsi="Arial" w:cs="Arial"/>
                <w:b/>
                <w:sz w:val="22"/>
                <w:szCs w:val="22"/>
                <w:u w:val="single"/>
              </w:rPr>
              <w:t>Panellist 3</w:t>
            </w:r>
          </w:p>
          <w:p w14:paraId="0E3C7242" w14:textId="77777777" w:rsidR="00F66ADA" w:rsidRPr="00684623" w:rsidRDefault="00F66ADA" w:rsidP="006D4A81">
            <w:pPr>
              <w:jc w:val="both"/>
              <w:rPr>
                <w:rFonts w:ascii="Arial" w:hAnsi="Arial" w:cs="Arial"/>
                <w:bCs/>
                <w:sz w:val="22"/>
                <w:szCs w:val="22"/>
              </w:rPr>
            </w:pPr>
            <w:r w:rsidRPr="00684623">
              <w:rPr>
                <w:rFonts w:ascii="Arial" w:hAnsi="Arial" w:cs="Arial"/>
                <w:b/>
                <w:sz w:val="22"/>
                <w:szCs w:val="22"/>
              </w:rPr>
              <w:t xml:space="preserve">Full Name: </w:t>
            </w:r>
            <w:r w:rsidRPr="00684623">
              <w:rPr>
                <w:rFonts w:ascii="Arial" w:hAnsi="Arial" w:cs="Arial"/>
                <w:bCs/>
                <w:sz w:val="22"/>
                <w:szCs w:val="22"/>
              </w:rPr>
              <w:t>Dr Christina Hanna</w:t>
            </w:r>
          </w:p>
          <w:p w14:paraId="3FF7F6E3" w14:textId="77777777" w:rsidR="00F66ADA" w:rsidRPr="00684623" w:rsidRDefault="00F66ADA" w:rsidP="006D4A81">
            <w:pPr>
              <w:jc w:val="both"/>
              <w:rPr>
                <w:rFonts w:ascii="Arial" w:hAnsi="Arial" w:cs="Arial"/>
                <w:bCs/>
                <w:sz w:val="22"/>
                <w:szCs w:val="22"/>
              </w:rPr>
            </w:pPr>
            <w:r w:rsidRPr="00684623">
              <w:rPr>
                <w:rFonts w:ascii="Arial" w:hAnsi="Arial" w:cs="Arial"/>
                <w:b/>
                <w:sz w:val="22"/>
                <w:szCs w:val="22"/>
              </w:rPr>
              <w:t xml:space="preserve">Organisation: </w:t>
            </w:r>
            <w:r w:rsidRPr="00684623">
              <w:rPr>
                <w:rFonts w:ascii="Arial" w:hAnsi="Arial" w:cs="Arial"/>
                <w:bCs/>
                <w:sz w:val="22"/>
                <w:szCs w:val="22"/>
              </w:rPr>
              <w:t>The University of Waikato</w:t>
            </w:r>
          </w:p>
          <w:p w14:paraId="26C7430D" w14:textId="77777777" w:rsidR="00F66ADA" w:rsidRPr="00684623" w:rsidRDefault="00F66ADA" w:rsidP="006D4A81">
            <w:pPr>
              <w:jc w:val="both"/>
              <w:rPr>
                <w:rFonts w:ascii="Arial" w:hAnsi="Arial" w:cs="Arial"/>
                <w:b/>
                <w:sz w:val="22"/>
                <w:szCs w:val="22"/>
              </w:rPr>
            </w:pPr>
            <w:r w:rsidRPr="00684623">
              <w:rPr>
                <w:rFonts w:ascii="Arial" w:hAnsi="Arial" w:cs="Arial"/>
                <w:b/>
                <w:sz w:val="22"/>
                <w:szCs w:val="22"/>
              </w:rPr>
              <w:t xml:space="preserve">Bio </w:t>
            </w:r>
          </w:p>
          <w:p w14:paraId="4564025E" w14:textId="77777777" w:rsidR="00F66ADA" w:rsidRPr="00684623" w:rsidRDefault="00F66ADA" w:rsidP="00DC0233">
            <w:pPr>
              <w:jc w:val="both"/>
              <w:rPr>
                <w:rFonts w:ascii="Arial" w:hAnsi="Arial" w:cs="Arial"/>
                <w:bCs/>
                <w:sz w:val="22"/>
                <w:szCs w:val="22"/>
              </w:rPr>
            </w:pPr>
            <w:r w:rsidRPr="00684623">
              <w:rPr>
                <w:rFonts w:ascii="Arial" w:hAnsi="Arial" w:cs="Arial"/>
                <w:bCs/>
                <w:sz w:val="22"/>
                <w:szCs w:val="22"/>
              </w:rPr>
              <w:t>Christina researches the governance of risk reduction and climate change adaptation, focusing on environmental planning. An important theme is applying managed retreats to reduce risks to human lives, assets, and ecosystems. Special focus areas include resource management instruments and frameworks, planning methods, spatial planning, collaborative planning and community resilience.</w:t>
            </w:r>
          </w:p>
          <w:p w14:paraId="28BBB647" w14:textId="77777777" w:rsidR="00F66ADA" w:rsidRPr="00684623" w:rsidRDefault="00F66ADA" w:rsidP="006D4A81">
            <w:pPr>
              <w:jc w:val="both"/>
              <w:rPr>
                <w:rFonts w:ascii="Arial" w:hAnsi="Arial" w:cs="Arial"/>
                <w:bCs/>
                <w:sz w:val="22"/>
                <w:szCs w:val="22"/>
              </w:rPr>
            </w:pPr>
          </w:p>
          <w:p w14:paraId="444C8B5F" w14:textId="1269E72B" w:rsidR="00F66ADA" w:rsidRPr="00684623" w:rsidRDefault="00F66ADA" w:rsidP="006D4A81">
            <w:pPr>
              <w:jc w:val="both"/>
              <w:rPr>
                <w:rFonts w:ascii="Arial" w:hAnsi="Arial" w:cs="Arial"/>
                <w:b/>
                <w:sz w:val="22"/>
                <w:szCs w:val="22"/>
              </w:rPr>
            </w:pPr>
            <w:r w:rsidRPr="00684623">
              <w:rPr>
                <w:rFonts w:ascii="Arial" w:hAnsi="Arial" w:cs="Arial"/>
                <w:b/>
                <w:sz w:val="22"/>
                <w:szCs w:val="22"/>
              </w:rPr>
              <w:t>Presentation 3</w:t>
            </w:r>
          </w:p>
          <w:p w14:paraId="478BA396" w14:textId="77777777" w:rsidR="00F66ADA" w:rsidRPr="00684623" w:rsidRDefault="00F66ADA" w:rsidP="00550DEC">
            <w:pPr>
              <w:jc w:val="both"/>
              <w:rPr>
                <w:rFonts w:ascii="Arial" w:hAnsi="Arial" w:cs="Arial"/>
                <w:bCs/>
                <w:sz w:val="22"/>
                <w:szCs w:val="22"/>
              </w:rPr>
            </w:pPr>
            <w:r w:rsidRPr="00684623">
              <w:rPr>
                <w:rFonts w:ascii="Arial" w:hAnsi="Arial" w:cs="Arial"/>
                <w:bCs/>
                <w:sz w:val="22"/>
                <w:szCs w:val="22"/>
              </w:rPr>
              <w:t>Applying hazard and risk science to policy development – insights from practitioners regarding their information needs and output requirements from nationwide flood hazard and risk models.</w:t>
            </w:r>
          </w:p>
          <w:p w14:paraId="530F96CB" w14:textId="77777777" w:rsidR="00F66ADA" w:rsidRPr="00684623" w:rsidRDefault="00F66ADA" w:rsidP="006D4A81">
            <w:pPr>
              <w:jc w:val="both"/>
              <w:rPr>
                <w:rFonts w:ascii="Arial" w:hAnsi="Arial" w:cs="Arial"/>
                <w:b/>
                <w:sz w:val="22"/>
                <w:szCs w:val="22"/>
              </w:rPr>
            </w:pPr>
          </w:p>
          <w:p w14:paraId="1818D9C4" w14:textId="77777777" w:rsidR="00F66ADA" w:rsidRPr="00684623" w:rsidRDefault="00F66ADA" w:rsidP="006D4A81">
            <w:pPr>
              <w:jc w:val="both"/>
              <w:rPr>
                <w:rFonts w:ascii="Arial" w:hAnsi="Arial" w:cs="Arial"/>
                <w:bCs/>
                <w:sz w:val="22"/>
                <w:szCs w:val="22"/>
              </w:rPr>
            </w:pPr>
            <w:r w:rsidRPr="00684623">
              <w:rPr>
                <w:rFonts w:ascii="Arial" w:hAnsi="Arial" w:cs="Arial"/>
                <w:b/>
                <w:bCs/>
                <w:sz w:val="22"/>
                <w:szCs w:val="22"/>
              </w:rPr>
              <w:t>Panellist 3 Contribution:</w:t>
            </w:r>
          </w:p>
          <w:p w14:paraId="0C66FCE3" w14:textId="77777777" w:rsidR="00F66ADA" w:rsidRPr="00684623" w:rsidRDefault="00F66ADA" w:rsidP="006D4A81">
            <w:pPr>
              <w:jc w:val="both"/>
              <w:rPr>
                <w:rFonts w:ascii="Arial" w:hAnsi="Arial" w:cs="Arial"/>
                <w:sz w:val="22"/>
                <w:szCs w:val="22"/>
              </w:rPr>
            </w:pPr>
            <w:r w:rsidRPr="00684623">
              <w:rPr>
                <w:rFonts w:ascii="Arial" w:hAnsi="Arial" w:cs="Arial"/>
                <w:b/>
                <w:bCs/>
                <w:sz w:val="22"/>
                <w:szCs w:val="22"/>
              </w:rPr>
              <w:t>Introduction</w:t>
            </w:r>
            <w:r>
              <w:rPr>
                <w:rFonts w:ascii="Arial" w:hAnsi="Arial" w:cs="Arial"/>
                <w:b/>
                <w:bCs/>
                <w:sz w:val="22"/>
                <w:szCs w:val="22"/>
              </w:rPr>
              <w:t xml:space="preserve">: </w:t>
            </w:r>
            <w:r w:rsidRPr="00684623">
              <w:rPr>
                <w:rFonts w:ascii="Arial" w:hAnsi="Arial" w:cs="Arial"/>
                <w:sz w:val="22"/>
                <w:szCs w:val="22"/>
              </w:rPr>
              <w:t xml:space="preserve">Aotearoa’s twenty regional authorities differ significantly in their access to quality, up-to-date flood data and information, meaning that decision-making may be sub-optimal for regions without access. A nationwide flood hazard and risk model provides a </w:t>
            </w:r>
            <w:r>
              <w:rPr>
                <w:rFonts w:ascii="Arial" w:hAnsi="Arial" w:cs="Arial"/>
                <w:sz w:val="22"/>
                <w:szCs w:val="22"/>
              </w:rPr>
              <w:t xml:space="preserve">uniform </w:t>
            </w:r>
            <w:r w:rsidRPr="00684623">
              <w:rPr>
                <w:rFonts w:ascii="Arial" w:hAnsi="Arial" w:cs="Arial"/>
                <w:sz w:val="22"/>
                <w:szCs w:val="22"/>
              </w:rPr>
              <w:t>base from which regional practitioners may work.</w:t>
            </w:r>
          </w:p>
          <w:p w14:paraId="66004B48" w14:textId="77777777" w:rsidR="00F66ADA" w:rsidRPr="00684623" w:rsidRDefault="00F66ADA" w:rsidP="006D4A81">
            <w:pPr>
              <w:jc w:val="both"/>
              <w:rPr>
                <w:rFonts w:ascii="Arial" w:hAnsi="Arial" w:cs="Arial"/>
                <w:sz w:val="22"/>
                <w:szCs w:val="22"/>
              </w:rPr>
            </w:pPr>
            <w:r w:rsidRPr="00684623">
              <w:rPr>
                <w:rFonts w:ascii="Arial" w:hAnsi="Arial" w:cs="Arial"/>
                <w:b/>
                <w:bCs/>
                <w:sz w:val="22"/>
                <w:szCs w:val="22"/>
              </w:rPr>
              <w:t>Objectives</w:t>
            </w:r>
            <w:r>
              <w:rPr>
                <w:rFonts w:ascii="Arial" w:hAnsi="Arial" w:cs="Arial"/>
                <w:b/>
                <w:bCs/>
                <w:sz w:val="22"/>
                <w:szCs w:val="22"/>
              </w:rPr>
              <w:t xml:space="preserve">: </w:t>
            </w:r>
            <w:r>
              <w:rPr>
                <w:rFonts w:ascii="Arial" w:hAnsi="Arial" w:cs="Arial"/>
                <w:sz w:val="22"/>
                <w:szCs w:val="22"/>
              </w:rPr>
              <w:t>To ensure the nationwide model is useful, useable and used, we wanted to understand the needs of potential regional-based users. What functionality do they require, and what are potential barriers to uptake?</w:t>
            </w:r>
          </w:p>
          <w:p w14:paraId="3454F98D" w14:textId="77777777" w:rsidR="00F66ADA" w:rsidRPr="00684623" w:rsidRDefault="00F66ADA" w:rsidP="006D4A81">
            <w:pPr>
              <w:jc w:val="both"/>
              <w:rPr>
                <w:rFonts w:ascii="Arial" w:hAnsi="Arial" w:cs="Arial"/>
                <w:sz w:val="22"/>
                <w:szCs w:val="22"/>
              </w:rPr>
            </w:pPr>
            <w:r w:rsidRPr="00684623">
              <w:rPr>
                <w:rFonts w:ascii="Arial" w:hAnsi="Arial" w:cs="Arial"/>
                <w:b/>
                <w:bCs/>
                <w:sz w:val="22"/>
                <w:szCs w:val="22"/>
              </w:rPr>
              <w:t>Methodology</w:t>
            </w:r>
            <w:r>
              <w:rPr>
                <w:rFonts w:ascii="Arial" w:hAnsi="Arial" w:cs="Arial"/>
                <w:b/>
                <w:bCs/>
                <w:sz w:val="22"/>
                <w:szCs w:val="22"/>
              </w:rPr>
              <w:t xml:space="preserve">: </w:t>
            </w:r>
            <w:r w:rsidRPr="00684623">
              <w:rPr>
                <w:rFonts w:ascii="Arial" w:hAnsi="Arial" w:cs="Arial"/>
                <w:sz w:val="22"/>
                <w:szCs w:val="22"/>
              </w:rPr>
              <w:t xml:space="preserve">We held a series of interactive sessions with regional practitioners, </w:t>
            </w:r>
            <w:r>
              <w:rPr>
                <w:rFonts w:ascii="Arial" w:hAnsi="Arial" w:cs="Arial"/>
                <w:sz w:val="22"/>
                <w:szCs w:val="22"/>
              </w:rPr>
              <w:t xml:space="preserve">to gauge </w:t>
            </w:r>
            <w:r w:rsidRPr="00684623">
              <w:rPr>
                <w:rFonts w:ascii="Arial" w:hAnsi="Arial" w:cs="Arial"/>
                <w:sz w:val="22"/>
                <w:szCs w:val="22"/>
              </w:rPr>
              <w:t xml:space="preserve">their understanding of the data inputs and information outputs of the nationwide models, </w:t>
            </w:r>
            <w:r>
              <w:rPr>
                <w:rFonts w:ascii="Arial" w:hAnsi="Arial" w:cs="Arial"/>
                <w:sz w:val="22"/>
                <w:szCs w:val="22"/>
              </w:rPr>
              <w:t xml:space="preserve">before identifying potential uses of </w:t>
            </w:r>
            <w:r w:rsidRPr="00684623">
              <w:rPr>
                <w:rFonts w:ascii="Arial" w:hAnsi="Arial" w:cs="Arial"/>
                <w:sz w:val="22"/>
                <w:szCs w:val="22"/>
              </w:rPr>
              <w:t xml:space="preserve">the models and </w:t>
            </w:r>
            <w:r>
              <w:rPr>
                <w:rFonts w:ascii="Arial" w:hAnsi="Arial" w:cs="Arial"/>
                <w:sz w:val="22"/>
                <w:szCs w:val="22"/>
              </w:rPr>
              <w:t>preferences regarding output qualities (e.g. scale, level of detail, interval between updates).</w:t>
            </w:r>
            <w:r w:rsidRPr="00684623">
              <w:rPr>
                <w:rFonts w:ascii="Arial" w:hAnsi="Arial" w:cs="Arial"/>
                <w:sz w:val="22"/>
                <w:szCs w:val="22"/>
              </w:rPr>
              <w:t xml:space="preserve"> </w:t>
            </w:r>
          </w:p>
          <w:p w14:paraId="3AF65B62" w14:textId="77777777" w:rsidR="00F66ADA" w:rsidRPr="001870E5" w:rsidRDefault="00F66ADA" w:rsidP="006D4A81">
            <w:pPr>
              <w:jc w:val="both"/>
              <w:rPr>
                <w:rFonts w:ascii="Arial" w:hAnsi="Arial" w:cs="Arial"/>
                <w:sz w:val="22"/>
                <w:szCs w:val="22"/>
              </w:rPr>
            </w:pPr>
            <w:r w:rsidRPr="00684623">
              <w:rPr>
                <w:rFonts w:ascii="Arial" w:hAnsi="Arial" w:cs="Arial"/>
                <w:b/>
                <w:bCs/>
                <w:sz w:val="22"/>
                <w:szCs w:val="22"/>
              </w:rPr>
              <w:t>Findings</w:t>
            </w:r>
            <w:r>
              <w:rPr>
                <w:rFonts w:ascii="Arial" w:hAnsi="Arial" w:cs="Arial"/>
                <w:b/>
                <w:bCs/>
                <w:sz w:val="22"/>
                <w:szCs w:val="22"/>
              </w:rPr>
              <w:t xml:space="preserve">: </w:t>
            </w:r>
            <w:r w:rsidRPr="001870E5">
              <w:rPr>
                <w:rFonts w:ascii="Arial" w:hAnsi="Arial" w:cs="Arial"/>
                <w:sz w:val="22"/>
                <w:szCs w:val="22"/>
              </w:rPr>
              <w:t xml:space="preserve">Regional practitioners </w:t>
            </w:r>
            <w:r>
              <w:rPr>
                <w:rFonts w:ascii="Arial" w:hAnsi="Arial" w:cs="Arial"/>
                <w:sz w:val="22"/>
                <w:szCs w:val="22"/>
              </w:rPr>
              <w:t>identified many potential uses for the model, informing planning processes, emergency responses, asset management and community wellbeing assessments. Whilst of most value to regions without comprehensive modelling capabilities, other regions recognised the nationwide model’s potential to integrate more contextual information, for example societal and cultural aspects.</w:t>
            </w:r>
          </w:p>
          <w:p w14:paraId="0EB41947" w14:textId="77777777" w:rsidR="00F66ADA" w:rsidRPr="00684623" w:rsidRDefault="00F66ADA" w:rsidP="004828A0">
            <w:pPr>
              <w:jc w:val="both"/>
              <w:rPr>
                <w:rFonts w:ascii="Arial" w:hAnsi="Arial" w:cs="Arial"/>
                <w:b/>
                <w:sz w:val="22"/>
                <w:szCs w:val="22"/>
              </w:rPr>
            </w:pPr>
          </w:p>
          <w:p w14:paraId="2E3A7BB5" w14:textId="77777777" w:rsidR="00F66ADA" w:rsidRPr="00684623" w:rsidRDefault="00F66ADA" w:rsidP="00BE0B4D">
            <w:pPr>
              <w:jc w:val="both"/>
              <w:rPr>
                <w:rFonts w:ascii="Arial" w:hAnsi="Arial" w:cs="Arial"/>
                <w:b/>
                <w:bCs/>
                <w:sz w:val="22"/>
                <w:szCs w:val="22"/>
              </w:rPr>
            </w:pPr>
          </w:p>
        </w:tc>
      </w:tr>
    </w:tbl>
    <w:p w14:paraId="20C6B587" w14:textId="77777777" w:rsidR="00F66ADA" w:rsidRDefault="00F66ADA" w:rsidP="00247C60"/>
    <w:p w14:paraId="022ECAB9" w14:textId="1D6F1F7F" w:rsidR="00F66ADA" w:rsidRPr="00331B3C" w:rsidRDefault="00331B3C" w:rsidP="00247C60">
      <w:pPr>
        <w:rPr>
          <w:b/>
          <w:bCs/>
        </w:rPr>
      </w:pPr>
      <w:r w:rsidRPr="00331B3C">
        <w:rPr>
          <w:b/>
          <w:bCs/>
        </w:rPr>
        <w:t>References:</w:t>
      </w:r>
    </w:p>
    <w:p w14:paraId="7663D29B" w14:textId="77777777" w:rsidR="00331B3C" w:rsidRDefault="00331B3C" w:rsidP="00247C60"/>
    <w:p w14:paraId="5823C40B" w14:textId="77777777" w:rsidR="00F66ADA" w:rsidRPr="00172D26" w:rsidRDefault="00F66ADA" w:rsidP="00172D26">
      <w:pPr>
        <w:pStyle w:val="EndNoteBibliography"/>
        <w:ind w:left="720" w:hanging="720"/>
        <w:rPr>
          <w:noProof/>
        </w:rPr>
      </w:pPr>
      <w:r w:rsidRPr="00172D26">
        <w:rPr>
          <w:noProof/>
        </w:rPr>
        <w:t xml:space="preserve">Anderson, C. L., Rovins, J., Johnston, D. M., Lang, W., Golding, B., Mills, B., Kaltenberger, R., Chasco, J., Pagano, T. C., Middleham, R., &amp; Nairn, J. (2022). Connecting Forecast and Warning: A Partnership Between Communicators and Scientists. In B. Golding (Ed.), </w:t>
      </w:r>
      <w:r w:rsidRPr="00172D26">
        <w:rPr>
          <w:i/>
          <w:noProof/>
        </w:rPr>
        <w:t>Towards the “Perfect” Weather Warning</w:t>
      </w:r>
      <w:r w:rsidRPr="00172D26">
        <w:rPr>
          <w:noProof/>
        </w:rPr>
        <w:t xml:space="preserve"> (pp. 87-113). Springer International Publishing. </w:t>
      </w:r>
      <w:r w:rsidRPr="00F66ADA">
        <w:rPr>
          <w:noProof/>
        </w:rPr>
        <w:t>https://doi.org/10.1007/978-3-030-98989-7_4</w:t>
      </w:r>
      <w:r w:rsidRPr="00172D26">
        <w:rPr>
          <w:noProof/>
        </w:rPr>
        <w:t xml:space="preserve"> </w:t>
      </w:r>
    </w:p>
    <w:p w14:paraId="6F24B39C" w14:textId="77777777" w:rsidR="00F66ADA" w:rsidRPr="00172D26" w:rsidRDefault="00F66ADA" w:rsidP="00172D26">
      <w:pPr>
        <w:pStyle w:val="EndNoteBibliography"/>
        <w:ind w:left="720" w:hanging="720"/>
        <w:rPr>
          <w:noProof/>
        </w:rPr>
      </w:pPr>
      <w:r w:rsidRPr="00172D26">
        <w:rPr>
          <w:noProof/>
        </w:rPr>
        <w:t xml:space="preserve">Bache, I. (2012). Multi-Level Governance in the European Union. In D. Levi-Faur (Ed.), </w:t>
      </w:r>
      <w:r w:rsidRPr="00172D26">
        <w:rPr>
          <w:i/>
          <w:noProof/>
        </w:rPr>
        <w:t>The Oxford Handbook of Governance</w:t>
      </w:r>
      <w:r w:rsidRPr="00172D26">
        <w:rPr>
          <w:noProof/>
        </w:rPr>
        <w:t xml:space="preserve"> (pp. 628–641). Oxford University Press. </w:t>
      </w:r>
      <w:r w:rsidRPr="00F66ADA">
        <w:rPr>
          <w:noProof/>
        </w:rPr>
        <w:t>https://doi.org/10.1093/oxfordhb/9780199560530.013.0044</w:t>
      </w:r>
      <w:r w:rsidRPr="00172D26">
        <w:rPr>
          <w:noProof/>
        </w:rPr>
        <w:t xml:space="preserve"> </w:t>
      </w:r>
    </w:p>
    <w:p w14:paraId="6E0B61CD" w14:textId="77777777" w:rsidR="00F66ADA" w:rsidRPr="00172D26" w:rsidRDefault="00F66ADA" w:rsidP="00172D26">
      <w:pPr>
        <w:pStyle w:val="EndNoteBibliography"/>
        <w:ind w:left="720" w:hanging="720"/>
        <w:rPr>
          <w:noProof/>
        </w:rPr>
      </w:pPr>
      <w:r w:rsidRPr="00172D26">
        <w:rPr>
          <w:noProof/>
        </w:rPr>
        <w:t xml:space="preserve">Bottazzi, P., Winkler, M. S., &amp; Ifejika Speranza, C. (2019). Flood governance for resilience in cities: The historical policy transformations in Dakar’s suburbs. </w:t>
      </w:r>
      <w:r w:rsidRPr="00172D26">
        <w:rPr>
          <w:i/>
          <w:noProof/>
        </w:rPr>
        <w:t>Environmental Science &amp; Policy</w:t>
      </w:r>
      <w:r w:rsidRPr="00172D26">
        <w:rPr>
          <w:noProof/>
        </w:rPr>
        <w:t>,</w:t>
      </w:r>
      <w:r w:rsidRPr="00172D26">
        <w:rPr>
          <w:i/>
          <w:noProof/>
        </w:rPr>
        <w:t xml:space="preserve"> 93</w:t>
      </w:r>
      <w:r w:rsidRPr="00172D26">
        <w:rPr>
          <w:noProof/>
        </w:rPr>
        <w:t xml:space="preserve">, 172-180. </w:t>
      </w:r>
      <w:r w:rsidRPr="00F66ADA">
        <w:rPr>
          <w:noProof/>
        </w:rPr>
        <w:t>https://doi.org/https://doi.org/10.1016/j.envsci.2018.12.013</w:t>
      </w:r>
      <w:r w:rsidRPr="00172D26">
        <w:rPr>
          <w:noProof/>
        </w:rPr>
        <w:t xml:space="preserve"> </w:t>
      </w:r>
    </w:p>
    <w:p w14:paraId="45B3F8AC" w14:textId="77777777" w:rsidR="00F66ADA" w:rsidRPr="00172D26" w:rsidRDefault="00F66ADA" w:rsidP="00172D26">
      <w:pPr>
        <w:pStyle w:val="EndNoteBibliography"/>
        <w:ind w:left="720" w:hanging="720"/>
        <w:rPr>
          <w:noProof/>
        </w:rPr>
      </w:pPr>
      <w:r w:rsidRPr="00172D26">
        <w:rPr>
          <w:noProof/>
        </w:rPr>
        <w:t xml:space="preserve">Insurance Council of New Zealand (ICNZ). (2022). </w:t>
      </w:r>
      <w:r w:rsidRPr="00172D26">
        <w:rPr>
          <w:i/>
          <w:noProof/>
        </w:rPr>
        <w:t>Cost of natural hazards</w:t>
      </w:r>
      <w:r w:rsidRPr="00172D26">
        <w:rPr>
          <w:noProof/>
        </w:rPr>
        <w:t xml:space="preserve">. Retrieved 28 September from </w:t>
      </w:r>
      <w:r w:rsidRPr="00F66ADA">
        <w:rPr>
          <w:noProof/>
        </w:rPr>
        <w:t>https://www.icnz.org.nz/natural-disasters/cost-of-natural-disasters/</w:t>
      </w:r>
    </w:p>
    <w:p w14:paraId="2457BA6C" w14:textId="77777777" w:rsidR="00F66ADA" w:rsidRPr="00172D26" w:rsidRDefault="00F66ADA" w:rsidP="00172D26">
      <w:pPr>
        <w:pStyle w:val="EndNoteBibliography"/>
        <w:ind w:left="720" w:hanging="720"/>
        <w:rPr>
          <w:noProof/>
        </w:rPr>
      </w:pPr>
      <w:r w:rsidRPr="00172D26">
        <w:rPr>
          <w:noProof/>
        </w:rPr>
        <w:t xml:space="preserve">Lawrence, J., Blackett, P., &amp; Cradock-Henry, N. A. (2020). Cascading climate change impacts and implications. </w:t>
      </w:r>
      <w:r w:rsidRPr="00172D26">
        <w:rPr>
          <w:i/>
          <w:noProof/>
        </w:rPr>
        <w:t>Climate Risk Management</w:t>
      </w:r>
      <w:r w:rsidRPr="00172D26">
        <w:rPr>
          <w:noProof/>
        </w:rPr>
        <w:t>,</w:t>
      </w:r>
      <w:r w:rsidRPr="00172D26">
        <w:rPr>
          <w:i/>
          <w:noProof/>
        </w:rPr>
        <w:t xml:space="preserve"> 29</w:t>
      </w:r>
      <w:r w:rsidRPr="00172D26">
        <w:rPr>
          <w:noProof/>
        </w:rPr>
        <w:t xml:space="preserve">, 100234. </w:t>
      </w:r>
      <w:r w:rsidRPr="00F66ADA">
        <w:rPr>
          <w:noProof/>
        </w:rPr>
        <w:t>https://doi.org/https://doi.org/10.1016/j.crm.2020.100234</w:t>
      </w:r>
      <w:r w:rsidRPr="00172D26">
        <w:rPr>
          <w:noProof/>
        </w:rPr>
        <w:t xml:space="preserve"> </w:t>
      </w:r>
    </w:p>
    <w:p w14:paraId="54979634" w14:textId="77777777" w:rsidR="00F66ADA" w:rsidRPr="00172D26" w:rsidRDefault="00F66ADA" w:rsidP="00172D26">
      <w:pPr>
        <w:pStyle w:val="EndNoteBibliography"/>
        <w:ind w:left="720" w:hanging="720"/>
        <w:rPr>
          <w:noProof/>
        </w:rPr>
      </w:pPr>
      <w:r w:rsidRPr="00172D26">
        <w:rPr>
          <w:noProof/>
        </w:rPr>
        <w:t xml:space="preserve">Mason, K., Lindberg, K., Haenfling, C., Schori, A., Marsters, H., Read, D., &amp; Borman, B. (2021). Social Vulnerability Indicators for Flooding in Aotearoa New Zealand. </w:t>
      </w:r>
      <w:r w:rsidRPr="00172D26">
        <w:rPr>
          <w:i/>
          <w:noProof/>
        </w:rPr>
        <w:t>International Journal of Environmental Research and Public Health</w:t>
      </w:r>
      <w:r w:rsidRPr="00172D26">
        <w:rPr>
          <w:noProof/>
        </w:rPr>
        <w:t>,</w:t>
      </w:r>
      <w:r w:rsidRPr="00172D26">
        <w:rPr>
          <w:i/>
          <w:noProof/>
        </w:rPr>
        <w:t xml:space="preserve"> 18</w:t>
      </w:r>
      <w:r w:rsidRPr="00172D26">
        <w:rPr>
          <w:noProof/>
        </w:rPr>
        <w:t xml:space="preserve">(8), 3952. </w:t>
      </w:r>
      <w:r w:rsidRPr="00F66ADA">
        <w:rPr>
          <w:noProof/>
        </w:rPr>
        <w:t>https://doi.org/https://doi.org/10.3390/ijerph18083952</w:t>
      </w:r>
      <w:r w:rsidRPr="00172D26">
        <w:rPr>
          <w:noProof/>
        </w:rPr>
        <w:t xml:space="preserve"> </w:t>
      </w:r>
    </w:p>
    <w:p w14:paraId="566A21FB" w14:textId="77777777" w:rsidR="00F66ADA" w:rsidRPr="00172D26" w:rsidRDefault="00F66ADA" w:rsidP="00172D26">
      <w:pPr>
        <w:pStyle w:val="EndNoteBibliography"/>
        <w:ind w:left="720" w:hanging="720"/>
        <w:rPr>
          <w:noProof/>
        </w:rPr>
      </w:pPr>
      <w:r w:rsidRPr="00172D26">
        <w:rPr>
          <w:noProof/>
        </w:rPr>
        <w:t xml:space="preserve">Meresa, H., Zhang, Y., Tian, J., Ma, N., Zhang, X., Heidari, H., &amp; Naeem, S. (2023). An Integrated Modeling Framework in Projections of Hydrological Extremes. </w:t>
      </w:r>
      <w:r w:rsidRPr="00172D26">
        <w:rPr>
          <w:i/>
          <w:noProof/>
        </w:rPr>
        <w:t>Surveys in Geophysics</w:t>
      </w:r>
      <w:r w:rsidRPr="00172D26">
        <w:rPr>
          <w:noProof/>
        </w:rPr>
        <w:t>,</w:t>
      </w:r>
      <w:r w:rsidRPr="00172D26">
        <w:rPr>
          <w:i/>
          <w:noProof/>
        </w:rPr>
        <w:t xml:space="preserve"> 44</w:t>
      </w:r>
      <w:r w:rsidRPr="00172D26">
        <w:rPr>
          <w:noProof/>
        </w:rPr>
        <w:t xml:space="preserve">(2), 277-322. </w:t>
      </w:r>
      <w:r w:rsidRPr="00F66ADA">
        <w:rPr>
          <w:noProof/>
        </w:rPr>
        <w:t>https://doi.org/10.1007/s10712-022-09737-w</w:t>
      </w:r>
      <w:r w:rsidRPr="00172D26">
        <w:rPr>
          <w:noProof/>
        </w:rPr>
        <w:t xml:space="preserve"> </w:t>
      </w:r>
    </w:p>
    <w:p w14:paraId="40A672E6" w14:textId="77777777" w:rsidR="00F66ADA" w:rsidRPr="00172D26" w:rsidRDefault="00F66ADA" w:rsidP="00172D26">
      <w:pPr>
        <w:pStyle w:val="EndNoteBibliography"/>
        <w:ind w:left="720" w:hanging="720"/>
        <w:rPr>
          <w:noProof/>
        </w:rPr>
      </w:pPr>
      <w:r w:rsidRPr="00172D26">
        <w:rPr>
          <w:noProof/>
        </w:rPr>
        <w:t xml:space="preserve">Ministry for the Environment. (2020). </w:t>
      </w:r>
      <w:r w:rsidRPr="00172D26">
        <w:rPr>
          <w:i/>
          <w:noProof/>
        </w:rPr>
        <w:t>National Climate Change Risk Assessment for New Zealand – Arotakenga Tūraru mō te Huringa Āhuarangi o Āotearoa: Technical report – Pūrongo whaihanga</w:t>
      </w:r>
      <w:r w:rsidRPr="00172D26">
        <w:rPr>
          <w:noProof/>
        </w:rPr>
        <w:t xml:space="preserve">. Ministry for the Environment. </w:t>
      </w:r>
      <w:r w:rsidRPr="00F66ADA">
        <w:rPr>
          <w:noProof/>
        </w:rPr>
        <w:t>https://environment.govt.nz/assets/Publications/Files/national-climate-change-risk-assessment-technical-report.pdf</w:t>
      </w:r>
    </w:p>
    <w:p w14:paraId="4C92BDCA" w14:textId="77777777" w:rsidR="00F66ADA" w:rsidRPr="00172D26" w:rsidRDefault="00F66ADA" w:rsidP="00172D26">
      <w:pPr>
        <w:pStyle w:val="EndNoteBibliography"/>
        <w:ind w:left="720" w:hanging="720"/>
        <w:rPr>
          <w:noProof/>
        </w:rPr>
      </w:pPr>
      <w:r w:rsidRPr="00172D26">
        <w:rPr>
          <w:noProof/>
        </w:rPr>
        <w:t xml:space="preserve">Paulik, R., Craig, H., &amp; D., C. (2019). </w:t>
      </w:r>
      <w:r w:rsidRPr="00172D26">
        <w:rPr>
          <w:i/>
          <w:noProof/>
        </w:rPr>
        <w:t>New Zealand Fluvial and Pluvial Flood Exposure</w:t>
      </w:r>
      <w:r w:rsidRPr="00172D26">
        <w:rPr>
          <w:noProof/>
        </w:rPr>
        <w:t xml:space="preserve">. </w:t>
      </w:r>
      <w:r w:rsidRPr="00F66ADA">
        <w:rPr>
          <w:noProof/>
        </w:rPr>
        <w:t>https://deepsouthchallenge.co.nz/wp-content/uploads/2021/01/Exposure-to-River-Flooding-Final-Report.pdf</w:t>
      </w:r>
    </w:p>
    <w:p w14:paraId="3487DF3A" w14:textId="77777777" w:rsidR="00F66ADA" w:rsidRPr="00172D26" w:rsidRDefault="00F66ADA" w:rsidP="00172D26">
      <w:pPr>
        <w:pStyle w:val="EndNoteBibliography"/>
        <w:ind w:left="720" w:hanging="720"/>
        <w:rPr>
          <w:noProof/>
        </w:rPr>
      </w:pPr>
      <w:r w:rsidRPr="00172D26">
        <w:rPr>
          <w:noProof/>
        </w:rPr>
        <w:t>Plummer, R., Baird, J., Bullock, R., Dzyundzyak, A., Dupont, D., Gerger Swartling, Å., Johannessen, Å., Huitema, D., Lyth, A., de Lourdes Melo Zurita, M., Munaretto, S., Smith, T., &amp; Thomsen, D. (2018). Flood Governance: A multiple country comparison of stakeholder perceptions and aspirations [</w:t>
      </w:r>
      <w:r w:rsidRPr="00F66ADA">
        <w:rPr>
          <w:noProof/>
        </w:rPr>
        <w:t>https://doi.org/10.1002/eet.1796</w:t>
      </w:r>
      <w:r w:rsidRPr="00172D26">
        <w:rPr>
          <w:noProof/>
        </w:rPr>
        <w:t xml:space="preserve">]. </w:t>
      </w:r>
      <w:r w:rsidRPr="00172D26">
        <w:rPr>
          <w:i/>
          <w:noProof/>
        </w:rPr>
        <w:t>Environmental Policy and Governance</w:t>
      </w:r>
      <w:r w:rsidRPr="00172D26">
        <w:rPr>
          <w:noProof/>
        </w:rPr>
        <w:t>,</w:t>
      </w:r>
      <w:r w:rsidRPr="00172D26">
        <w:rPr>
          <w:i/>
          <w:noProof/>
        </w:rPr>
        <w:t xml:space="preserve"> 28</w:t>
      </w:r>
      <w:r w:rsidRPr="00172D26">
        <w:rPr>
          <w:noProof/>
        </w:rPr>
        <w:t xml:space="preserve">(2), 67-81. </w:t>
      </w:r>
      <w:r w:rsidRPr="00F66ADA">
        <w:rPr>
          <w:noProof/>
        </w:rPr>
        <w:t>https://doi.org/https://doi.org/10.1002/eet.1796</w:t>
      </w:r>
      <w:r w:rsidRPr="00172D26">
        <w:rPr>
          <w:noProof/>
        </w:rPr>
        <w:t xml:space="preserve"> </w:t>
      </w:r>
    </w:p>
    <w:p w14:paraId="5B8B7CAD" w14:textId="77777777" w:rsidR="00F66ADA" w:rsidRPr="00172D26" w:rsidRDefault="00F66ADA" w:rsidP="00172D26">
      <w:pPr>
        <w:pStyle w:val="EndNoteBibliography"/>
        <w:ind w:left="720" w:hanging="720"/>
        <w:rPr>
          <w:noProof/>
        </w:rPr>
      </w:pPr>
      <w:r w:rsidRPr="00172D26">
        <w:rPr>
          <w:noProof/>
        </w:rPr>
        <w:t xml:space="preserve">Quigley, M. C., Bennetts, L. G., Durance, P., Kuhnert, P. M., Lindsay, M. D., Pembleton, K. G., Roberts, M. E., &amp; White, C. J. (2019). The provision and utility of science and uncertainty to decision-makers: earth science case studies. </w:t>
      </w:r>
      <w:r w:rsidRPr="00172D26">
        <w:rPr>
          <w:i/>
          <w:noProof/>
        </w:rPr>
        <w:t>Environment Systems and Decisions</w:t>
      </w:r>
      <w:r w:rsidRPr="00172D26">
        <w:rPr>
          <w:noProof/>
        </w:rPr>
        <w:t>,</w:t>
      </w:r>
      <w:r w:rsidRPr="00172D26">
        <w:rPr>
          <w:i/>
          <w:noProof/>
        </w:rPr>
        <w:t xml:space="preserve"> 39</w:t>
      </w:r>
      <w:r w:rsidRPr="00172D26">
        <w:rPr>
          <w:noProof/>
        </w:rPr>
        <w:t xml:space="preserve">(3), 307-348. </w:t>
      </w:r>
      <w:r w:rsidRPr="00F66ADA">
        <w:rPr>
          <w:noProof/>
        </w:rPr>
        <w:t>https://doi.org/10.1007/s10669-019-09728-0</w:t>
      </w:r>
      <w:r w:rsidRPr="00172D26">
        <w:rPr>
          <w:noProof/>
        </w:rPr>
        <w:t xml:space="preserve"> </w:t>
      </w:r>
    </w:p>
    <w:p w14:paraId="113AD311" w14:textId="77777777" w:rsidR="00F66ADA" w:rsidRPr="00172D26" w:rsidRDefault="00F66ADA" w:rsidP="00172D26">
      <w:pPr>
        <w:pStyle w:val="EndNoteBibliography"/>
        <w:ind w:left="720" w:hanging="720"/>
        <w:rPr>
          <w:noProof/>
        </w:rPr>
      </w:pPr>
      <w:r w:rsidRPr="00172D26">
        <w:rPr>
          <w:noProof/>
        </w:rPr>
        <w:lastRenderedPageBreak/>
        <w:t xml:space="preserve">Reisinger, A., Wratt, D., Allan, S., &amp; Larsen, H. (2011). The Role of Local Government in Adapting to Climate Change: Lessons from New Zealand. In J. Ford &amp; L. Berrang-Ford (Eds.), </w:t>
      </w:r>
      <w:r w:rsidRPr="00172D26">
        <w:rPr>
          <w:i/>
          <w:noProof/>
        </w:rPr>
        <w:t>Climate Change Adaptation in Developed Nations: From Theory to Practice</w:t>
      </w:r>
      <w:r w:rsidRPr="00172D26">
        <w:rPr>
          <w:noProof/>
        </w:rPr>
        <w:t xml:space="preserve"> (pp. 303-318). Springer Science+Business. </w:t>
      </w:r>
      <w:r w:rsidRPr="00F66ADA">
        <w:rPr>
          <w:noProof/>
        </w:rPr>
        <w:t>https://doi.org/10.1007/978-94-007-0567-8</w:t>
      </w:r>
      <w:r w:rsidRPr="00172D26">
        <w:rPr>
          <w:noProof/>
        </w:rPr>
        <w:t xml:space="preserve"> 22 </w:t>
      </w:r>
    </w:p>
    <w:p w14:paraId="18BFDAF7" w14:textId="77777777" w:rsidR="00F66ADA" w:rsidRPr="00172D26" w:rsidRDefault="00F66ADA" w:rsidP="00172D26">
      <w:pPr>
        <w:pStyle w:val="EndNoteBibliography"/>
        <w:ind w:left="720" w:hanging="720"/>
        <w:rPr>
          <w:noProof/>
        </w:rPr>
      </w:pPr>
      <w:r w:rsidRPr="00172D26">
        <w:rPr>
          <w:noProof/>
        </w:rPr>
        <w:t xml:space="preserve">Rouse, H. (2012). </w:t>
      </w:r>
      <w:r w:rsidRPr="00172D26">
        <w:rPr>
          <w:i/>
          <w:noProof/>
        </w:rPr>
        <w:t>Flood risk management research in New Zealand: Where we are, and where are we going?</w:t>
      </w:r>
      <w:r w:rsidRPr="00172D26">
        <w:rPr>
          <w:noProof/>
        </w:rPr>
        <w:t xml:space="preserve"> GNS Science Report 2012/04. </w:t>
      </w:r>
    </w:p>
    <w:p w14:paraId="133FFA85" w14:textId="77777777" w:rsidR="00F66ADA" w:rsidRPr="00172D26" w:rsidRDefault="00F66ADA" w:rsidP="00172D26">
      <w:pPr>
        <w:pStyle w:val="EndNoteBibliography"/>
        <w:ind w:left="720" w:hanging="720"/>
        <w:rPr>
          <w:noProof/>
        </w:rPr>
      </w:pPr>
      <w:r w:rsidRPr="00172D26">
        <w:rPr>
          <w:noProof/>
        </w:rPr>
        <w:t xml:space="preserve">Royal Society of New Zealand. (2016). </w:t>
      </w:r>
      <w:r w:rsidRPr="00172D26">
        <w:rPr>
          <w:i/>
          <w:noProof/>
        </w:rPr>
        <w:t>Climate Change Implications for New Zealand; Royal Society of New Zealand</w:t>
      </w:r>
      <w:r w:rsidRPr="00172D26">
        <w:rPr>
          <w:noProof/>
        </w:rPr>
        <w:t xml:space="preserve">. Retrieved 28 September from </w:t>
      </w:r>
      <w:r w:rsidRPr="00F66ADA">
        <w:rPr>
          <w:noProof/>
        </w:rPr>
        <w:t>https://www.royalsociety.org.nz/what-we-do/our-expert-advice/all-expert-advice-papers/climate-change-implications-for-new-zealand/key-risks/flooding/</w:t>
      </w:r>
    </w:p>
    <w:p w14:paraId="187A6A0E" w14:textId="77777777" w:rsidR="00F66ADA" w:rsidRPr="00172D26" w:rsidRDefault="00F66ADA" w:rsidP="00172D26">
      <w:pPr>
        <w:pStyle w:val="EndNoteBibliography"/>
        <w:ind w:left="720" w:hanging="720"/>
        <w:rPr>
          <w:noProof/>
        </w:rPr>
      </w:pPr>
      <w:r w:rsidRPr="00172D26">
        <w:rPr>
          <w:noProof/>
        </w:rPr>
        <w:t xml:space="preserve">Smith, W., Davies-Colley, C., Mackay, A., &amp; Bankoff, G. (2011). Social impact of the 2004 Manawatu floods and the 'hollowing out' of rural New Zealand. </w:t>
      </w:r>
      <w:r w:rsidRPr="00172D26">
        <w:rPr>
          <w:i/>
          <w:noProof/>
        </w:rPr>
        <w:t>Disasters</w:t>
      </w:r>
      <w:r w:rsidRPr="00172D26">
        <w:rPr>
          <w:noProof/>
        </w:rPr>
        <w:t>,</w:t>
      </w:r>
      <w:r w:rsidRPr="00172D26">
        <w:rPr>
          <w:i/>
          <w:noProof/>
        </w:rPr>
        <w:t xml:space="preserve"> 35</w:t>
      </w:r>
      <w:r w:rsidRPr="00172D26">
        <w:rPr>
          <w:noProof/>
        </w:rPr>
        <w:t xml:space="preserve">(3), 540-553. </w:t>
      </w:r>
      <w:r w:rsidRPr="00F66ADA">
        <w:rPr>
          <w:noProof/>
        </w:rPr>
        <w:t>https://doi.org/10.1111/j.1467-7717.2011.01228.x</w:t>
      </w:r>
      <w:r w:rsidRPr="00172D26">
        <w:rPr>
          <w:noProof/>
        </w:rPr>
        <w:t xml:space="preserve"> </w:t>
      </w:r>
    </w:p>
    <w:p w14:paraId="2B43553B" w14:textId="77777777" w:rsidR="00F66ADA" w:rsidRPr="00172D26" w:rsidRDefault="00F66ADA" w:rsidP="00172D26">
      <w:pPr>
        <w:pStyle w:val="EndNoteBibliography"/>
        <w:ind w:left="720" w:hanging="720"/>
        <w:rPr>
          <w:noProof/>
        </w:rPr>
      </w:pPr>
      <w:r w:rsidRPr="00172D26">
        <w:rPr>
          <w:noProof/>
        </w:rPr>
        <w:t xml:space="preserve">Steinschneider, S., Wi, S., &amp; Brown, C. (2015). The integrated effects of climate and hydrologic uncertainty on future flood risk assessments. </w:t>
      </w:r>
      <w:r w:rsidRPr="00172D26">
        <w:rPr>
          <w:i/>
          <w:noProof/>
        </w:rPr>
        <w:t>Hydrological Processes</w:t>
      </w:r>
      <w:r w:rsidRPr="00172D26">
        <w:rPr>
          <w:noProof/>
        </w:rPr>
        <w:t>,</w:t>
      </w:r>
      <w:r w:rsidRPr="00172D26">
        <w:rPr>
          <w:i/>
          <w:noProof/>
        </w:rPr>
        <w:t xml:space="preserve"> 29</w:t>
      </w:r>
      <w:r w:rsidRPr="00172D26">
        <w:rPr>
          <w:noProof/>
        </w:rPr>
        <w:t xml:space="preserve">(12), 2823-2839. </w:t>
      </w:r>
      <w:r w:rsidRPr="00F66ADA">
        <w:rPr>
          <w:noProof/>
        </w:rPr>
        <w:t>https://doi.org/https://doi.org/10.1002/hyp.10409</w:t>
      </w:r>
      <w:r w:rsidRPr="00172D26">
        <w:rPr>
          <w:noProof/>
        </w:rPr>
        <w:t xml:space="preserve"> </w:t>
      </w:r>
    </w:p>
    <w:p w14:paraId="51299079" w14:textId="77777777" w:rsidR="00F66ADA" w:rsidRPr="00172D26" w:rsidRDefault="00F66ADA" w:rsidP="00172D26">
      <w:pPr>
        <w:pStyle w:val="EndNoteBibliography"/>
        <w:ind w:left="720" w:hanging="720"/>
        <w:rPr>
          <w:noProof/>
        </w:rPr>
      </w:pPr>
      <w:r w:rsidRPr="00172D26">
        <w:rPr>
          <w:noProof/>
        </w:rPr>
        <w:t xml:space="preserve">Tonkin + Taylor Limited. (2018). </w:t>
      </w:r>
      <w:r w:rsidRPr="00172D26">
        <w:rPr>
          <w:i/>
          <w:noProof/>
        </w:rPr>
        <w:t>Hiding in Plain Sight: An Overview of Current Practices, National Benefits and Future Challenges of Our Flood Protection, River Control and Land Drainage Schemes</w:t>
      </w:r>
      <w:r w:rsidRPr="00172D26">
        <w:rPr>
          <w:noProof/>
        </w:rPr>
        <w:t xml:space="preserve">. </w:t>
      </w:r>
      <w:r w:rsidRPr="00F66ADA">
        <w:rPr>
          <w:noProof/>
        </w:rPr>
        <w:t>https://www.lgnz.co.nz/assets/Regional/1804-Hiding-in-Plain-Sight-Final-Version-April-2018-latest-word-version.pdf</w:t>
      </w:r>
    </w:p>
    <w:p w14:paraId="42985C35" w14:textId="77777777" w:rsidR="00F66ADA" w:rsidRPr="00172D26" w:rsidRDefault="00F66ADA" w:rsidP="00172D26">
      <w:pPr>
        <w:pStyle w:val="EndNoteBibliography"/>
        <w:ind w:left="720" w:hanging="720"/>
        <w:rPr>
          <w:noProof/>
        </w:rPr>
      </w:pPr>
      <w:r w:rsidRPr="00172D26">
        <w:rPr>
          <w:noProof/>
        </w:rPr>
        <w:t>Wiering, M., Liefferink, D., &amp; Crabbé, A. (2018). Stability and change in flood risk governance: on path dependencies and change agents [</w:t>
      </w:r>
      <w:r w:rsidRPr="00F66ADA">
        <w:rPr>
          <w:noProof/>
        </w:rPr>
        <w:t>https://doi.org/10.1111/jfr3.12295</w:t>
      </w:r>
      <w:r w:rsidRPr="00172D26">
        <w:rPr>
          <w:noProof/>
        </w:rPr>
        <w:t xml:space="preserve">]. </w:t>
      </w:r>
      <w:r w:rsidRPr="00172D26">
        <w:rPr>
          <w:i/>
          <w:noProof/>
        </w:rPr>
        <w:t>Journal of Flood Risk Management</w:t>
      </w:r>
      <w:r w:rsidRPr="00172D26">
        <w:rPr>
          <w:noProof/>
        </w:rPr>
        <w:t>,</w:t>
      </w:r>
      <w:r w:rsidRPr="00172D26">
        <w:rPr>
          <w:i/>
          <w:noProof/>
        </w:rPr>
        <w:t xml:space="preserve"> 11</w:t>
      </w:r>
      <w:r w:rsidRPr="00172D26">
        <w:rPr>
          <w:noProof/>
        </w:rPr>
        <w:t xml:space="preserve">(3), 230-238. </w:t>
      </w:r>
      <w:r w:rsidRPr="00F66ADA">
        <w:rPr>
          <w:noProof/>
        </w:rPr>
        <w:t>https://doi.org/https://doi.org/10.1111/jfr3.12295</w:t>
      </w:r>
      <w:r w:rsidRPr="00172D26">
        <w:rPr>
          <w:noProof/>
        </w:rPr>
        <w:t xml:space="preserve"> </w:t>
      </w:r>
    </w:p>
    <w:p w14:paraId="6A162675" w14:textId="77777777" w:rsidR="00F66ADA" w:rsidRPr="00172D26" w:rsidRDefault="00F66ADA" w:rsidP="00172D26">
      <w:pPr>
        <w:pStyle w:val="EndNoteBibliography"/>
        <w:ind w:left="720" w:hanging="720"/>
        <w:rPr>
          <w:noProof/>
        </w:rPr>
      </w:pPr>
      <w:r w:rsidRPr="00172D26">
        <w:rPr>
          <w:noProof/>
        </w:rPr>
        <w:t xml:space="preserve">Winter, A. K., &amp; Karvonen, A. (2022). Climate governance at the fringes: Peri-urban flooding drivers and responses. </w:t>
      </w:r>
      <w:r w:rsidRPr="00172D26">
        <w:rPr>
          <w:i/>
          <w:noProof/>
        </w:rPr>
        <w:t>Land Use Policy</w:t>
      </w:r>
      <w:r w:rsidRPr="00172D26">
        <w:rPr>
          <w:noProof/>
        </w:rPr>
        <w:t>,</w:t>
      </w:r>
      <w:r w:rsidRPr="00172D26">
        <w:rPr>
          <w:i/>
          <w:noProof/>
        </w:rPr>
        <w:t xml:space="preserve"> 117</w:t>
      </w:r>
      <w:r w:rsidRPr="00172D26">
        <w:rPr>
          <w:noProof/>
        </w:rPr>
        <w:t xml:space="preserve">, 106124. </w:t>
      </w:r>
      <w:r w:rsidRPr="00F66ADA">
        <w:rPr>
          <w:noProof/>
        </w:rPr>
        <w:t>https://doi.org/https://doi.org/10.1016/j.landusepol.2022.106124</w:t>
      </w:r>
      <w:r w:rsidRPr="00172D26">
        <w:rPr>
          <w:noProof/>
        </w:rPr>
        <w:t xml:space="preserve"> </w:t>
      </w:r>
    </w:p>
    <w:p w14:paraId="6ECE4219" w14:textId="77777777" w:rsidR="00F66ADA" w:rsidRPr="00C26081" w:rsidRDefault="00F66ADA" w:rsidP="00247C60"/>
    <w:p w14:paraId="79CAB2FD" w14:textId="77777777" w:rsidR="00057413" w:rsidRDefault="00057413"/>
    <w:sectPr w:rsidR="00057413" w:rsidSect="00F66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59C"/>
    <w:multiLevelType w:val="hybridMultilevel"/>
    <w:tmpl w:val="A364E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D25DCF"/>
    <w:multiLevelType w:val="hybridMultilevel"/>
    <w:tmpl w:val="4A40E01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B2C61"/>
    <w:multiLevelType w:val="hybridMultilevel"/>
    <w:tmpl w:val="921EF5B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DC7E4A"/>
    <w:multiLevelType w:val="hybridMultilevel"/>
    <w:tmpl w:val="80A81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AD4EC5"/>
    <w:multiLevelType w:val="hybridMultilevel"/>
    <w:tmpl w:val="56CE84B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567EF7"/>
    <w:multiLevelType w:val="hybridMultilevel"/>
    <w:tmpl w:val="165ADC1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F15BE2"/>
    <w:multiLevelType w:val="hybridMultilevel"/>
    <w:tmpl w:val="5AF87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0F7133"/>
    <w:multiLevelType w:val="hybridMultilevel"/>
    <w:tmpl w:val="23E80470"/>
    <w:lvl w:ilvl="0" w:tplc="2A069E6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5240C6"/>
    <w:multiLevelType w:val="hybridMultilevel"/>
    <w:tmpl w:val="CEFADA9A"/>
    <w:lvl w:ilvl="0" w:tplc="0696FC7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B952353"/>
    <w:multiLevelType w:val="hybridMultilevel"/>
    <w:tmpl w:val="A3A8F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4695D57"/>
    <w:multiLevelType w:val="hybridMultilevel"/>
    <w:tmpl w:val="A37EA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FAC4605"/>
    <w:multiLevelType w:val="hybridMultilevel"/>
    <w:tmpl w:val="737CFAA4"/>
    <w:lvl w:ilvl="0" w:tplc="D32A7E3E">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16439391">
    <w:abstractNumId w:val="2"/>
  </w:num>
  <w:num w:numId="2" w16cid:durableId="1027095654">
    <w:abstractNumId w:val="14"/>
  </w:num>
  <w:num w:numId="3" w16cid:durableId="1208686634">
    <w:abstractNumId w:val="9"/>
  </w:num>
  <w:num w:numId="4" w16cid:durableId="1179194463">
    <w:abstractNumId w:val="5"/>
  </w:num>
  <w:num w:numId="5" w16cid:durableId="377946369">
    <w:abstractNumId w:val="8"/>
  </w:num>
  <w:num w:numId="6" w16cid:durableId="1583876362">
    <w:abstractNumId w:val="13"/>
  </w:num>
  <w:num w:numId="7" w16cid:durableId="401567553">
    <w:abstractNumId w:val="12"/>
  </w:num>
  <w:num w:numId="8" w16cid:durableId="1298413214">
    <w:abstractNumId w:val="1"/>
  </w:num>
  <w:num w:numId="9" w16cid:durableId="1902788685">
    <w:abstractNumId w:val="10"/>
  </w:num>
  <w:num w:numId="10" w16cid:durableId="73822296">
    <w:abstractNumId w:val="7"/>
  </w:num>
  <w:num w:numId="11" w16cid:durableId="2115400549">
    <w:abstractNumId w:val="6"/>
  </w:num>
  <w:num w:numId="12" w16cid:durableId="87504001">
    <w:abstractNumId w:val="15"/>
  </w:num>
  <w:num w:numId="13" w16cid:durableId="1314287360">
    <w:abstractNumId w:val="3"/>
  </w:num>
  <w:num w:numId="14" w16cid:durableId="652219629">
    <w:abstractNumId w:val="11"/>
  </w:num>
  <w:num w:numId="15" w16cid:durableId="1042290652">
    <w:abstractNumId w:val="0"/>
  </w:num>
  <w:num w:numId="16" w16cid:durableId="561135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66ADA"/>
    <w:rsid w:val="0000267A"/>
    <w:rsid w:val="00010C82"/>
    <w:rsid w:val="00037538"/>
    <w:rsid w:val="00057413"/>
    <w:rsid w:val="00072528"/>
    <w:rsid w:val="000B6B3A"/>
    <w:rsid w:val="000C07D6"/>
    <w:rsid w:val="00155FA7"/>
    <w:rsid w:val="00173345"/>
    <w:rsid w:val="001C6EE6"/>
    <w:rsid w:val="001D397C"/>
    <w:rsid w:val="001D6DDB"/>
    <w:rsid w:val="001E643B"/>
    <w:rsid w:val="00221B44"/>
    <w:rsid w:val="002C2FE5"/>
    <w:rsid w:val="002C74AE"/>
    <w:rsid w:val="00331B3C"/>
    <w:rsid w:val="00342D6A"/>
    <w:rsid w:val="00385DB5"/>
    <w:rsid w:val="00386914"/>
    <w:rsid w:val="00390BB2"/>
    <w:rsid w:val="003D0AAA"/>
    <w:rsid w:val="003D3ADD"/>
    <w:rsid w:val="003D5183"/>
    <w:rsid w:val="00477D21"/>
    <w:rsid w:val="004A00A3"/>
    <w:rsid w:val="00514CFF"/>
    <w:rsid w:val="0054457E"/>
    <w:rsid w:val="0056504A"/>
    <w:rsid w:val="005B09C3"/>
    <w:rsid w:val="005C2B8F"/>
    <w:rsid w:val="005C3252"/>
    <w:rsid w:val="005C5A3C"/>
    <w:rsid w:val="005D4634"/>
    <w:rsid w:val="005D5B35"/>
    <w:rsid w:val="0065242B"/>
    <w:rsid w:val="006A353D"/>
    <w:rsid w:val="006F5782"/>
    <w:rsid w:val="00710BA9"/>
    <w:rsid w:val="00742C9B"/>
    <w:rsid w:val="007627DC"/>
    <w:rsid w:val="00781A88"/>
    <w:rsid w:val="00790309"/>
    <w:rsid w:val="0079191A"/>
    <w:rsid w:val="007E69BA"/>
    <w:rsid w:val="0086120D"/>
    <w:rsid w:val="00864A16"/>
    <w:rsid w:val="008838C0"/>
    <w:rsid w:val="008B3A8C"/>
    <w:rsid w:val="008C6731"/>
    <w:rsid w:val="008D1DE0"/>
    <w:rsid w:val="008D430A"/>
    <w:rsid w:val="00912695"/>
    <w:rsid w:val="009311D7"/>
    <w:rsid w:val="0095690E"/>
    <w:rsid w:val="009708D8"/>
    <w:rsid w:val="009A7131"/>
    <w:rsid w:val="009C0D36"/>
    <w:rsid w:val="009C77CE"/>
    <w:rsid w:val="009D4E14"/>
    <w:rsid w:val="00A37C2E"/>
    <w:rsid w:val="00A630B0"/>
    <w:rsid w:val="00A63F82"/>
    <w:rsid w:val="00AC32AD"/>
    <w:rsid w:val="00AF385C"/>
    <w:rsid w:val="00B21635"/>
    <w:rsid w:val="00B6348D"/>
    <w:rsid w:val="00BB00B7"/>
    <w:rsid w:val="00C14079"/>
    <w:rsid w:val="00C50ECE"/>
    <w:rsid w:val="00C77FB9"/>
    <w:rsid w:val="00C91381"/>
    <w:rsid w:val="00C913A8"/>
    <w:rsid w:val="00CB092A"/>
    <w:rsid w:val="00CD76BE"/>
    <w:rsid w:val="00CD7CA1"/>
    <w:rsid w:val="00CE450F"/>
    <w:rsid w:val="00CF2D9F"/>
    <w:rsid w:val="00D37524"/>
    <w:rsid w:val="00D717CD"/>
    <w:rsid w:val="00D87AF7"/>
    <w:rsid w:val="00DA4A35"/>
    <w:rsid w:val="00DC6FB9"/>
    <w:rsid w:val="00DE299B"/>
    <w:rsid w:val="00F14716"/>
    <w:rsid w:val="00F66ADA"/>
    <w:rsid w:val="00F712F4"/>
    <w:rsid w:val="00F87246"/>
    <w:rsid w:val="00FA63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2F46"/>
  <w15:chartTrackingRefBased/>
  <w15:docId w15:val="{1A306CB0-CAF4-CB48-837E-D0B3662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DA"/>
    <w:rPr>
      <w:rFonts w:eastAsiaTheme="minorEastAsia"/>
      <w:kern w:val="0"/>
      <w:lang w:eastAsia="zh-TW"/>
      <w14:ligatures w14:val="none"/>
    </w:rPr>
  </w:style>
  <w:style w:type="paragraph" w:styleId="Heading1">
    <w:name w:val="heading 1"/>
    <w:basedOn w:val="Normal"/>
    <w:link w:val="Heading1Char"/>
    <w:uiPriority w:val="9"/>
    <w:qFormat/>
    <w:rsid w:val="00F66ADA"/>
    <w:pPr>
      <w:spacing w:before="100" w:beforeAutospacing="1" w:after="100" w:afterAutospacing="1"/>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F66ADA"/>
    <w:pPr>
      <w:spacing w:before="100" w:beforeAutospacing="1" w:after="100" w:afterAutospacing="1"/>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semiHidden/>
    <w:unhideWhenUsed/>
    <w:qFormat/>
    <w:rsid w:val="00F66ADA"/>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F66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A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A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A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A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ADA"/>
    <w:rPr>
      <w:rFonts w:ascii="Times New Roman" w:eastAsia="Times New Roman" w:hAnsi="Times New Roman" w:cs="Times New Roman"/>
      <w:b/>
      <w:bCs/>
      <w:kern w:val="36"/>
      <w:sz w:val="48"/>
      <w:szCs w:val="48"/>
      <w:lang w:eastAsia="en-NZ"/>
      <w14:ligatures w14:val="none"/>
    </w:rPr>
  </w:style>
  <w:style w:type="character" w:customStyle="1" w:styleId="Heading2Char">
    <w:name w:val="Heading 2 Char"/>
    <w:basedOn w:val="DefaultParagraphFont"/>
    <w:link w:val="Heading2"/>
    <w:uiPriority w:val="9"/>
    <w:rsid w:val="00F66ADA"/>
    <w:rPr>
      <w:rFonts w:ascii="Times New Roman" w:eastAsia="Times New Roman" w:hAnsi="Times New Roman" w:cs="Times New Roman"/>
      <w:b/>
      <w:bCs/>
      <w:kern w:val="0"/>
      <w:sz w:val="36"/>
      <w:szCs w:val="36"/>
      <w:lang w:eastAsia="en-NZ"/>
      <w14:ligatures w14:val="none"/>
    </w:rPr>
  </w:style>
  <w:style w:type="character" w:customStyle="1" w:styleId="Heading3Char">
    <w:name w:val="Heading 3 Char"/>
    <w:basedOn w:val="DefaultParagraphFont"/>
    <w:link w:val="Heading3"/>
    <w:uiPriority w:val="9"/>
    <w:semiHidden/>
    <w:rsid w:val="00F66ADA"/>
    <w:rPr>
      <w:rFonts w:asciiTheme="majorHAnsi" w:eastAsiaTheme="majorEastAsia" w:hAnsiTheme="majorHAnsi" w:cstheme="majorBidi"/>
      <w:color w:val="0A2F40" w:themeColor="accent1" w:themeShade="7F"/>
      <w:kern w:val="0"/>
      <w:lang w:eastAsia="zh-TW"/>
      <w14:ligatures w14:val="none"/>
    </w:rPr>
  </w:style>
  <w:style w:type="character" w:customStyle="1" w:styleId="Heading4Char">
    <w:name w:val="Heading 4 Char"/>
    <w:basedOn w:val="DefaultParagraphFont"/>
    <w:link w:val="Heading4"/>
    <w:uiPriority w:val="9"/>
    <w:semiHidden/>
    <w:rsid w:val="00F66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ADA"/>
    <w:rPr>
      <w:rFonts w:eastAsiaTheme="majorEastAsia" w:cstheme="majorBidi"/>
      <w:color w:val="272727" w:themeColor="text1" w:themeTint="D8"/>
    </w:rPr>
  </w:style>
  <w:style w:type="paragraph" w:styleId="Title">
    <w:name w:val="Title"/>
    <w:basedOn w:val="Normal"/>
    <w:next w:val="Normal"/>
    <w:link w:val="TitleChar"/>
    <w:uiPriority w:val="10"/>
    <w:qFormat/>
    <w:rsid w:val="00F66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A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ADA"/>
    <w:rPr>
      <w:i/>
      <w:iCs/>
      <w:color w:val="404040" w:themeColor="text1" w:themeTint="BF"/>
    </w:rPr>
  </w:style>
  <w:style w:type="paragraph" w:styleId="ListParagraph">
    <w:name w:val="List Paragraph"/>
    <w:basedOn w:val="Normal"/>
    <w:uiPriority w:val="34"/>
    <w:qFormat/>
    <w:rsid w:val="00F66ADA"/>
    <w:pPr>
      <w:ind w:left="720"/>
      <w:contextualSpacing/>
    </w:pPr>
  </w:style>
  <w:style w:type="character" w:styleId="IntenseEmphasis">
    <w:name w:val="Intense Emphasis"/>
    <w:basedOn w:val="DefaultParagraphFont"/>
    <w:uiPriority w:val="21"/>
    <w:qFormat/>
    <w:rsid w:val="00F66ADA"/>
    <w:rPr>
      <w:i/>
      <w:iCs/>
      <w:color w:val="0F4761" w:themeColor="accent1" w:themeShade="BF"/>
    </w:rPr>
  </w:style>
  <w:style w:type="paragraph" w:styleId="IntenseQuote">
    <w:name w:val="Intense Quote"/>
    <w:basedOn w:val="Normal"/>
    <w:next w:val="Normal"/>
    <w:link w:val="IntenseQuoteChar"/>
    <w:uiPriority w:val="30"/>
    <w:qFormat/>
    <w:rsid w:val="00F66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ADA"/>
    <w:rPr>
      <w:i/>
      <w:iCs/>
      <w:color w:val="0F4761" w:themeColor="accent1" w:themeShade="BF"/>
    </w:rPr>
  </w:style>
  <w:style w:type="character" w:styleId="IntenseReference">
    <w:name w:val="Intense Reference"/>
    <w:basedOn w:val="DefaultParagraphFont"/>
    <w:uiPriority w:val="32"/>
    <w:qFormat/>
    <w:rsid w:val="00F66ADA"/>
    <w:rPr>
      <w:b/>
      <w:bCs/>
      <w:smallCaps/>
      <w:color w:val="0F4761" w:themeColor="accent1" w:themeShade="BF"/>
      <w:spacing w:val="5"/>
    </w:rPr>
  </w:style>
  <w:style w:type="table" w:customStyle="1" w:styleId="Tablestyle1">
    <w:name w:val="Table style1"/>
    <w:basedOn w:val="TableNormal"/>
    <w:uiPriority w:val="99"/>
    <w:rsid w:val="00F66ADA"/>
    <w:rPr>
      <w:rFonts w:eastAsiaTheme="minorEastAsia"/>
      <w:kern w:val="0"/>
      <w:sz w:val="20"/>
      <w:szCs w:val="20"/>
      <w:lang w:val="en-CA" w:eastAsia="zh-TW"/>
      <w14:ligatures w14:val="none"/>
    </w:rPr>
    <w:tblPr/>
  </w:style>
  <w:style w:type="table" w:styleId="TableGrid">
    <w:name w:val="Table Grid"/>
    <w:basedOn w:val="TableNormal"/>
    <w:rsid w:val="00F66ADA"/>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DA"/>
    <w:rPr>
      <w:rFonts w:ascii="Segoe UI" w:eastAsiaTheme="minorEastAsia" w:hAnsi="Segoe UI" w:cs="Segoe UI"/>
      <w:kern w:val="0"/>
      <w:sz w:val="18"/>
      <w:szCs w:val="18"/>
      <w:lang w:eastAsia="zh-TW"/>
      <w14:ligatures w14:val="none"/>
    </w:rPr>
  </w:style>
  <w:style w:type="character" w:styleId="CommentReference">
    <w:name w:val="annotation reference"/>
    <w:basedOn w:val="DefaultParagraphFont"/>
    <w:uiPriority w:val="99"/>
    <w:semiHidden/>
    <w:unhideWhenUsed/>
    <w:rsid w:val="00F66ADA"/>
    <w:rPr>
      <w:sz w:val="16"/>
      <w:szCs w:val="16"/>
    </w:rPr>
  </w:style>
  <w:style w:type="paragraph" w:styleId="CommentText">
    <w:name w:val="annotation text"/>
    <w:basedOn w:val="Normal"/>
    <w:link w:val="CommentTextChar"/>
    <w:uiPriority w:val="99"/>
    <w:semiHidden/>
    <w:unhideWhenUsed/>
    <w:rsid w:val="00F66ADA"/>
    <w:rPr>
      <w:sz w:val="20"/>
      <w:szCs w:val="20"/>
    </w:rPr>
  </w:style>
  <w:style w:type="character" w:customStyle="1" w:styleId="CommentTextChar">
    <w:name w:val="Comment Text Char"/>
    <w:basedOn w:val="DefaultParagraphFont"/>
    <w:link w:val="CommentText"/>
    <w:uiPriority w:val="99"/>
    <w:semiHidden/>
    <w:rsid w:val="00F66ADA"/>
    <w:rPr>
      <w:rFonts w:eastAsiaTheme="minorEastAsia"/>
      <w:kern w:val="0"/>
      <w:sz w:val="20"/>
      <w:szCs w:val="20"/>
      <w:lang w:eastAsia="zh-TW"/>
      <w14:ligatures w14:val="none"/>
    </w:rPr>
  </w:style>
  <w:style w:type="paragraph" w:styleId="CommentSubject">
    <w:name w:val="annotation subject"/>
    <w:basedOn w:val="CommentText"/>
    <w:next w:val="CommentText"/>
    <w:link w:val="CommentSubjectChar"/>
    <w:uiPriority w:val="99"/>
    <w:semiHidden/>
    <w:unhideWhenUsed/>
    <w:rsid w:val="00F66ADA"/>
    <w:rPr>
      <w:b/>
      <w:bCs/>
    </w:rPr>
  </w:style>
  <w:style w:type="character" w:customStyle="1" w:styleId="CommentSubjectChar">
    <w:name w:val="Comment Subject Char"/>
    <w:basedOn w:val="CommentTextChar"/>
    <w:link w:val="CommentSubject"/>
    <w:uiPriority w:val="99"/>
    <w:semiHidden/>
    <w:rsid w:val="00F66ADA"/>
    <w:rPr>
      <w:rFonts w:eastAsiaTheme="minorEastAsia"/>
      <w:b/>
      <w:bCs/>
      <w:kern w:val="0"/>
      <w:sz w:val="20"/>
      <w:szCs w:val="20"/>
      <w:lang w:eastAsia="zh-TW"/>
      <w14:ligatures w14:val="none"/>
    </w:rPr>
  </w:style>
  <w:style w:type="paragraph" w:styleId="Revision">
    <w:name w:val="Revision"/>
    <w:hidden/>
    <w:uiPriority w:val="99"/>
    <w:semiHidden/>
    <w:rsid w:val="00F66ADA"/>
    <w:rPr>
      <w:rFonts w:eastAsiaTheme="minorEastAsia"/>
      <w:kern w:val="0"/>
      <w:lang w:val="en-CA" w:eastAsia="zh-TW"/>
      <w14:ligatures w14:val="none"/>
    </w:rPr>
  </w:style>
  <w:style w:type="paragraph" w:styleId="NormalWeb">
    <w:name w:val="Normal (Web)"/>
    <w:basedOn w:val="Normal"/>
    <w:uiPriority w:val="99"/>
    <w:unhideWhenUsed/>
    <w:rsid w:val="00F66ADA"/>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F66ADA"/>
    <w:rPr>
      <w:b/>
      <w:bCs/>
    </w:rPr>
  </w:style>
  <w:style w:type="paragraph" w:customStyle="1" w:styleId="EndNoteBibliographyTitle">
    <w:name w:val="EndNote Bibliography Title"/>
    <w:basedOn w:val="Normal"/>
    <w:link w:val="EndNoteBibliographyTitleChar"/>
    <w:rsid w:val="00F66ADA"/>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66ADA"/>
    <w:rPr>
      <w:rFonts w:ascii="Calibri" w:eastAsiaTheme="minorEastAsia" w:hAnsi="Calibri" w:cs="Calibri"/>
      <w:kern w:val="0"/>
      <w:lang w:eastAsia="zh-TW"/>
      <w14:ligatures w14:val="none"/>
    </w:rPr>
  </w:style>
  <w:style w:type="paragraph" w:customStyle="1" w:styleId="EndNoteBibliography">
    <w:name w:val="EndNote Bibliography"/>
    <w:basedOn w:val="Normal"/>
    <w:link w:val="EndNoteBibliographyChar"/>
    <w:rsid w:val="00F66ADA"/>
    <w:rPr>
      <w:rFonts w:ascii="Calibri" w:hAnsi="Calibri" w:cs="Calibri"/>
    </w:rPr>
  </w:style>
  <w:style w:type="character" w:customStyle="1" w:styleId="EndNoteBibliographyChar">
    <w:name w:val="EndNote Bibliography Char"/>
    <w:basedOn w:val="DefaultParagraphFont"/>
    <w:link w:val="EndNoteBibliography"/>
    <w:rsid w:val="00F66ADA"/>
    <w:rPr>
      <w:rFonts w:ascii="Calibri" w:eastAsiaTheme="minorEastAsia" w:hAnsi="Calibri" w:cs="Calibri"/>
      <w:kern w:val="0"/>
      <w:lang w:eastAsia="zh-TW"/>
      <w14:ligatures w14:val="none"/>
    </w:rPr>
  </w:style>
  <w:style w:type="character" w:styleId="Hyperlink">
    <w:name w:val="Hyperlink"/>
    <w:basedOn w:val="DefaultParagraphFont"/>
    <w:uiPriority w:val="99"/>
    <w:unhideWhenUsed/>
    <w:rsid w:val="00F66ADA"/>
    <w:rPr>
      <w:color w:val="467886" w:themeColor="hyperlink"/>
      <w:u w:val="single"/>
    </w:rPr>
  </w:style>
  <w:style w:type="character" w:styleId="UnresolvedMention">
    <w:name w:val="Unresolved Mention"/>
    <w:basedOn w:val="DefaultParagraphFont"/>
    <w:uiPriority w:val="99"/>
    <w:semiHidden/>
    <w:unhideWhenUsed/>
    <w:rsid w:val="00F6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82180-CE70-41C4-9A56-73A81244B886}">
  <ds:schemaRefs>
    <ds:schemaRef ds:uri="http://purl.org/dc/term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9c8a2b7b-0bee-4c48-b0a6-23db8982d3bc"/>
    <ds:schemaRef ds:uri="http://www.w3.org/XML/1998/namespace"/>
    <ds:schemaRef ds:uri="cab52c9b-ab33-4221-8af9-54f8f2b86a80"/>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FDED190B-BA03-4431-9310-CB34A14A08AD}">
  <ds:schemaRefs>
    <ds:schemaRef ds:uri="http://schemas.microsoft.com/sharepoint/v3/contenttype/forms"/>
  </ds:schemaRefs>
</ds:datastoreItem>
</file>

<file path=customXml/itemProps3.xml><?xml version="1.0" encoding="utf-8"?>
<ds:datastoreItem xmlns:ds="http://schemas.openxmlformats.org/officeDocument/2006/customXml" ds:itemID="{89F0815D-D59C-4177-9598-D66353E8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Serrao-Neumann</dc:creator>
  <cp:keywords/>
  <dc:description/>
  <cp:lastModifiedBy>Bethany Yee</cp:lastModifiedBy>
  <cp:revision>3</cp:revision>
  <dcterms:created xsi:type="dcterms:W3CDTF">2025-02-28T01:18:00Z</dcterms:created>
  <dcterms:modified xsi:type="dcterms:W3CDTF">2025-08-13T19:33:00Z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