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3"/>
      </w:tblGrid>
      <w:tr w:rsidR="001564A4" w:rsidRPr="0050053A" w14:paraId="5C38377B" w14:textId="77777777" w:rsidTr="007E6B80">
        <w:trPr>
          <w:trHeight w:val="557"/>
          <w:jc w:val="center"/>
        </w:trPr>
        <w:tc>
          <w:tcPr>
            <w:tcW w:w="9543" w:type="dxa"/>
            <w:shd w:val="clear" w:color="auto" w:fill="auto"/>
          </w:tcPr>
          <w:p w14:paraId="5C44F357" w14:textId="589924D4" w:rsidR="001564A4" w:rsidRPr="0050053A" w:rsidRDefault="008D6D04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 retrospective review</w:t>
            </w:r>
            <w:r w:rsidR="001421B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of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the </w:t>
            </w:r>
            <w:r w:rsidR="006448EE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management of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M</w:t>
            </w:r>
            <w:r w:rsidR="001421B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DA5 </w:t>
            </w:r>
            <w:r w:rsidR="006448EE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associated ILD</w:t>
            </w:r>
          </w:p>
        </w:tc>
      </w:tr>
      <w:tr w:rsidR="001564A4" w:rsidRPr="0050053A" w14:paraId="0E2E035C" w14:textId="77777777" w:rsidTr="00F57E5A">
        <w:trPr>
          <w:trHeight w:val="761"/>
          <w:jc w:val="center"/>
        </w:trPr>
        <w:tc>
          <w:tcPr>
            <w:tcW w:w="9543" w:type="dxa"/>
            <w:shd w:val="clear" w:color="auto" w:fill="auto"/>
          </w:tcPr>
          <w:p w14:paraId="73B55295" w14:textId="6C3295FF" w:rsidR="001564A4" w:rsidRPr="00413B94" w:rsidRDefault="001421BA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Reece Jefferies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F57E5A">
              <w:rPr>
                <w:rFonts w:ascii="Arial" w:hAnsi="Arial" w:cs="Arial"/>
                <w:sz w:val="22"/>
                <w:szCs w:val="22"/>
                <w:lang w:val="en-US" w:eastAsia="en-GB"/>
              </w:rPr>
              <w:t>Chris Bundell</w:t>
            </w:r>
            <w:r w:rsidR="00F57E5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F57E5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Anna Brusch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F57E5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,3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proofErr w:type="spellStart"/>
            <w:r w:rsidR="002A1256">
              <w:rPr>
                <w:rFonts w:ascii="Arial" w:hAnsi="Arial" w:cs="Arial"/>
                <w:sz w:val="22"/>
                <w:szCs w:val="22"/>
                <w:lang w:val="en-US" w:eastAsia="en-GB"/>
              </w:rPr>
              <w:t>Yuben</w:t>
            </w:r>
            <w:proofErr w:type="spellEnd"/>
            <w:r w:rsidR="002A1256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Moodley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F57E5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,4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2A1256">
              <w:rPr>
                <w:rFonts w:ascii="Arial" w:hAnsi="Arial" w:cs="Arial"/>
                <w:sz w:val="22"/>
                <w:szCs w:val="22"/>
                <w:lang w:val="en-US" w:eastAsia="en-GB"/>
              </w:rPr>
              <w:t>Jeremy Wrobel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7E6B80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,5</w:t>
            </w:r>
          </w:p>
        </w:tc>
      </w:tr>
      <w:tr w:rsidR="001564A4" w:rsidRPr="0050053A" w14:paraId="385A19D9" w14:textId="77777777" w:rsidTr="00F57E5A">
        <w:trPr>
          <w:trHeight w:val="213"/>
          <w:jc w:val="center"/>
        </w:trPr>
        <w:tc>
          <w:tcPr>
            <w:tcW w:w="9543" w:type="dxa"/>
            <w:shd w:val="clear" w:color="auto" w:fill="auto"/>
          </w:tcPr>
          <w:p w14:paraId="1643A330" w14:textId="02C1CEBC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421BA" w:rsidRPr="001421B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Department of Respiratory Medicine, Fiona Stanley Hospital, Western Australia</w:t>
            </w:r>
            <w:r w:rsidR="008D6D0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, Australia</w:t>
            </w:r>
          </w:p>
          <w:p w14:paraId="3BD815D8" w14:textId="4B8B83F8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421B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</w:t>
            </w:r>
            <w:r w:rsidR="00F57E5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Clinical</w:t>
            </w:r>
            <w:r w:rsidR="001421B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Immunology, </w:t>
            </w:r>
            <w:r w:rsidR="00F57E5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PathWest Laboratory Medicine Queen Elizabeth II Medical Centre,</w:t>
            </w:r>
            <w:r w:rsidR="001421B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Western Australia</w:t>
            </w:r>
            <w:r w:rsidR="008D6D0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6BCADC27" w14:textId="6B9A90D8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F57E5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Centre for Neuromuscular and Neurological Disorders, University of Western Australia, Australia</w:t>
            </w:r>
          </w:p>
          <w:p w14:paraId="20D99931" w14:textId="1018BB32" w:rsidR="002A1256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2A125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Medicine, University of Western Australia, Australia</w:t>
            </w:r>
          </w:p>
          <w:p w14:paraId="45ED36BF" w14:textId="11BB0E66" w:rsidR="007E6B80" w:rsidRPr="007E6B80" w:rsidRDefault="002A1256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7E6B8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</w:t>
            </w:r>
            <w:r w:rsidR="00F57E5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of Medicine, University of Notre Dame</w:t>
            </w:r>
            <w:r w:rsidR="007E6B8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Australia</w:t>
            </w:r>
            <w:r w:rsidR="00F57E5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Western Australia, Australia</w:t>
            </w:r>
          </w:p>
        </w:tc>
      </w:tr>
      <w:tr w:rsidR="001564A4" w:rsidRPr="0050053A" w14:paraId="6DAF615A" w14:textId="77777777" w:rsidTr="00FB73CE">
        <w:trPr>
          <w:trHeight w:hRule="exact" w:val="13618"/>
          <w:jc w:val="center"/>
        </w:trPr>
        <w:tc>
          <w:tcPr>
            <w:tcW w:w="9543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lastRenderedPageBreak/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19D1597" w14:textId="2E69FA11" w:rsidR="001564A4" w:rsidRPr="008D6D04" w:rsidRDefault="00F57E5A" w:rsidP="000A28E2">
            <w:pPr>
              <w:pStyle w:val="Pa1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</w:t>
            </w:r>
            <w:r w:rsidR="001421BA" w:rsidRPr="008D6D04">
              <w:rPr>
                <w:color w:val="000000" w:themeColor="text1"/>
                <w:sz w:val="22"/>
                <w:szCs w:val="22"/>
              </w:rPr>
              <w:t>nti-melanoma differentiation-associated gene 5 (MDA5)</w:t>
            </w:r>
            <w:r w:rsidR="00153955">
              <w:rPr>
                <w:color w:val="000000" w:themeColor="text1"/>
                <w:sz w:val="22"/>
                <w:szCs w:val="22"/>
              </w:rPr>
              <w:t xml:space="preserve"> antibodies are</w:t>
            </w:r>
            <w:r w:rsidR="008D6D04" w:rsidRPr="008D6D04">
              <w:rPr>
                <w:color w:val="000000" w:themeColor="text1"/>
                <w:sz w:val="22"/>
                <w:szCs w:val="22"/>
              </w:rPr>
              <w:t xml:space="preserve"> </w:t>
            </w:r>
            <w:r w:rsidR="001421BA" w:rsidRPr="008D6D04">
              <w:rPr>
                <w:color w:val="000000" w:themeColor="text1"/>
                <w:sz w:val="22"/>
                <w:szCs w:val="22"/>
              </w:rPr>
              <w:t xml:space="preserve">associated with </w:t>
            </w:r>
            <w:r w:rsidR="007E6B80">
              <w:rPr>
                <w:color w:val="000000" w:themeColor="text1"/>
                <w:sz w:val="22"/>
                <w:szCs w:val="22"/>
              </w:rPr>
              <w:t xml:space="preserve">rapidly progressive interstitial lung disease (RP-ILD). </w:t>
            </w:r>
            <w:r w:rsidR="001421BA" w:rsidRPr="008D6D04">
              <w:rPr>
                <w:color w:val="000000" w:themeColor="text1"/>
                <w:sz w:val="22"/>
                <w:szCs w:val="22"/>
              </w:rPr>
              <w:t>Our aim was to evaluate</w:t>
            </w:r>
            <w:r w:rsidR="00677E28">
              <w:rPr>
                <w:color w:val="000000" w:themeColor="text1"/>
                <w:sz w:val="22"/>
                <w:szCs w:val="22"/>
              </w:rPr>
              <w:t xml:space="preserve"> </w:t>
            </w:r>
            <w:r w:rsidR="000E0D6D">
              <w:rPr>
                <w:color w:val="000000" w:themeColor="text1"/>
                <w:sz w:val="22"/>
                <w:szCs w:val="22"/>
              </w:rPr>
              <w:t>the management of MDA5 associated ILD at our centre</w:t>
            </w:r>
            <w:r w:rsidR="007E6B80">
              <w:rPr>
                <w:color w:val="000000" w:themeColor="text1"/>
                <w:sz w:val="22"/>
                <w:szCs w:val="22"/>
              </w:rPr>
              <w:t>.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5029BAE6" w14:textId="2960CB2E" w:rsidR="001564A4" w:rsidRPr="00024BD8" w:rsidRDefault="001421BA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All </w:t>
            </w:r>
            <w:r w:rsidR="00F57E5A">
              <w:rPr>
                <w:sz w:val="22"/>
                <w:szCs w:val="22"/>
              </w:rPr>
              <w:t xml:space="preserve">patients at Fiona Stanley Hospital who tested positive for </w:t>
            </w:r>
            <w:r>
              <w:rPr>
                <w:sz w:val="22"/>
                <w:szCs w:val="22"/>
              </w:rPr>
              <w:t xml:space="preserve">MDA5 </w:t>
            </w:r>
            <w:r w:rsidR="00F57E5A">
              <w:rPr>
                <w:sz w:val="22"/>
                <w:szCs w:val="22"/>
              </w:rPr>
              <w:t xml:space="preserve">antibodies from January </w:t>
            </w:r>
            <w:r w:rsidR="008D6D04">
              <w:rPr>
                <w:sz w:val="22"/>
                <w:szCs w:val="22"/>
              </w:rPr>
              <w:t>2017</w:t>
            </w:r>
            <w:r w:rsidR="00F57E5A">
              <w:rPr>
                <w:sz w:val="22"/>
                <w:szCs w:val="22"/>
              </w:rPr>
              <w:t xml:space="preserve"> to July 2023</w:t>
            </w:r>
            <w:r>
              <w:rPr>
                <w:sz w:val="22"/>
                <w:szCs w:val="22"/>
              </w:rPr>
              <w:t xml:space="preserve"> </w:t>
            </w:r>
            <w:r w:rsidRPr="00024BD8">
              <w:rPr>
                <w:sz w:val="22"/>
                <w:szCs w:val="22"/>
              </w:rPr>
              <w:t xml:space="preserve">were </w:t>
            </w:r>
            <w:r w:rsidR="00F57E5A">
              <w:rPr>
                <w:sz w:val="22"/>
                <w:szCs w:val="22"/>
              </w:rPr>
              <w:t>identified</w:t>
            </w:r>
            <w:r w:rsidRPr="00024BD8">
              <w:rPr>
                <w:sz w:val="22"/>
                <w:szCs w:val="22"/>
              </w:rPr>
              <w:t xml:space="preserve">. </w:t>
            </w:r>
            <w:r w:rsidR="00F57E5A">
              <w:rPr>
                <w:sz w:val="22"/>
                <w:szCs w:val="22"/>
              </w:rPr>
              <w:t xml:space="preserve">Records were reviewed for </w:t>
            </w:r>
            <w:r w:rsidRPr="00024BD8">
              <w:rPr>
                <w:sz w:val="22"/>
                <w:szCs w:val="22"/>
              </w:rPr>
              <w:t>demographics,</w:t>
            </w:r>
            <w:r w:rsidR="00F57E5A">
              <w:rPr>
                <w:sz w:val="22"/>
                <w:szCs w:val="22"/>
              </w:rPr>
              <w:t xml:space="preserve"> clinical presentation, presence of ILD, </w:t>
            </w:r>
            <w:r w:rsidRPr="00024BD8">
              <w:rPr>
                <w:sz w:val="22"/>
                <w:szCs w:val="22"/>
              </w:rPr>
              <w:t>pulmonary function test</w:t>
            </w:r>
            <w:r w:rsidR="008D6D04" w:rsidRPr="00024BD8">
              <w:rPr>
                <w:sz w:val="22"/>
                <w:szCs w:val="22"/>
              </w:rPr>
              <w:t>s</w:t>
            </w:r>
            <w:r w:rsidR="00F57E5A">
              <w:rPr>
                <w:sz w:val="22"/>
                <w:szCs w:val="22"/>
              </w:rPr>
              <w:t>,</w:t>
            </w:r>
            <w:r w:rsidRPr="00024BD8">
              <w:rPr>
                <w:sz w:val="22"/>
                <w:szCs w:val="22"/>
              </w:rPr>
              <w:t xml:space="preserve"> radiologic pattern</w:t>
            </w:r>
            <w:r w:rsidR="00F57E5A">
              <w:rPr>
                <w:sz w:val="22"/>
                <w:szCs w:val="22"/>
              </w:rPr>
              <w:t xml:space="preserve"> and </w:t>
            </w:r>
            <w:r w:rsidRPr="00024BD8">
              <w:rPr>
                <w:sz w:val="22"/>
                <w:szCs w:val="22"/>
              </w:rPr>
              <w:t>survival.</w:t>
            </w:r>
            <w:r w:rsidR="00F57E5A">
              <w:rPr>
                <w:sz w:val="22"/>
                <w:szCs w:val="22"/>
              </w:rPr>
              <w:t xml:space="preserve"> Patients with ILD were categorised as having MDA5 associated ILD</w:t>
            </w:r>
            <w:r w:rsidR="004C53A6">
              <w:rPr>
                <w:sz w:val="22"/>
                <w:szCs w:val="22"/>
              </w:rPr>
              <w:t xml:space="preserve"> (dermatomyositis, myositis or RP-ILD)</w:t>
            </w:r>
            <w:r w:rsidR="00F57E5A">
              <w:rPr>
                <w:sz w:val="22"/>
                <w:szCs w:val="22"/>
              </w:rPr>
              <w:t xml:space="preserve"> or alternative cause for ILD. MDA5 antibodies were assessed as weak, moderate or strong</w:t>
            </w:r>
            <w:r w:rsidR="00045568">
              <w:rPr>
                <w:sz w:val="22"/>
                <w:szCs w:val="22"/>
              </w:rPr>
              <w:t>.</w:t>
            </w:r>
            <w:r w:rsidR="001564A4" w:rsidRPr="00024BD8">
              <w:rPr>
                <w:sz w:val="22"/>
                <w:szCs w:val="22"/>
              </w:rPr>
              <w:br/>
            </w:r>
          </w:p>
          <w:p w14:paraId="18F77515" w14:textId="3DA1E5A6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 w:rsidRPr="00024BD8">
              <w:rPr>
                <w:rStyle w:val="A4"/>
                <w:b/>
                <w:bCs/>
              </w:rPr>
              <w:t xml:space="preserve">Results: </w:t>
            </w:r>
            <w:r w:rsidR="00024BD8">
              <w:rPr>
                <w:rStyle w:val="A4"/>
                <w:b/>
                <w:bCs/>
              </w:rPr>
              <w:br/>
            </w:r>
            <w:r w:rsidR="00153955">
              <w:rPr>
                <w:sz w:val="22"/>
                <w:szCs w:val="22"/>
              </w:rPr>
              <w:t xml:space="preserve">Of </w:t>
            </w:r>
            <w:r w:rsidR="00F57E5A">
              <w:rPr>
                <w:sz w:val="22"/>
                <w:szCs w:val="22"/>
              </w:rPr>
              <w:t>33</w:t>
            </w:r>
            <w:r w:rsidR="001421BA" w:rsidRPr="00024BD8">
              <w:rPr>
                <w:sz w:val="22"/>
                <w:szCs w:val="22"/>
              </w:rPr>
              <w:t xml:space="preserve"> patients with MDA5 antibodies</w:t>
            </w:r>
            <w:r w:rsidR="000E0D6D">
              <w:rPr>
                <w:sz w:val="22"/>
                <w:szCs w:val="22"/>
              </w:rPr>
              <w:t xml:space="preserve">, 8 </w:t>
            </w:r>
            <w:r w:rsidR="00153955">
              <w:rPr>
                <w:sz w:val="22"/>
                <w:szCs w:val="22"/>
              </w:rPr>
              <w:t xml:space="preserve">had </w:t>
            </w:r>
            <w:r w:rsidR="000E0D6D">
              <w:rPr>
                <w:sz w:val="22"/>
                <w:szCs w:val="22"/>
              </w:rPr>
              <w:t xml:space="preserve">MDA5 </w:t>
            </w:r>
            <w:r w:rsidR="001D7E46">
              <w:rPr>
                <w:sz w:val="22"/>
                <w:szCs w:val="22"/>
              </w:rPr>
              <w:t xml:space="preserve">antibody </w:t>
            </w:r>
            <w:r w:rsidR="000E0D6D">
              <w:rPr>
                <w:sz w:val="22"/>
                <w:szCs w:val="22"/>
              </w:rPr>
              <w:t xml:space="preserve">associated ILD. </w:t>
            </w:r>
            <w:r w:rsidR="00FA2C24">
              <w:rPr>
                <w:sz w:val="22"/>
                <w:szCs w:val="22"/>
              </w:rPr>
              <w:t xml:space="preserve">Of these patients, </w:t>
            </w:r>
            <w:r w:rsidR="001421BA" w:rsidRPr="00024BD8">
              <w:rPr>
                <w:sz w:val="22"/>
                <w:szCs w:val="22"/>
              </w:rPr>
              <w:t>5</w:t>
            </w:r>
            <w:r w:rsidR="007E6B80">
              <w:rPr>
                <w:sz w:val="22"/>
                <w:szCs w:val="22"/>
              </w:rPr>
              <w:t xml:space="preserve"> </w:t>
            </w:r>
            <w:r w:rsidR="00FA2C24">
              <w:rPr>
                <w:sz w:val="22"/>
                <w:szCs w:val="22"/>
              </w:rPr>
              <w:t>had RP-ILD, all of whom</w:t>
            </w:r>
            <w:r w:rsidR="007E6B80">
              <w:rPr>
                <w:sz w:val="22"/>
                <w:szCs w:val="22"/>
              </w:rPr>
              <w:t xml:space="preserve"> died. Treatments are summarised below.</w:t>
            </w:r>
          </w:p>
          <w:p w14:paraId="3932D711" w14:textId="6E7177F2" w:rsidR="00F57E5A" w:rsidRDefault="00F57E5A" w:rsidP="00F57E5A">
            <w:pPr>
              <w:pStyle w:val="Default"/>
            </w:pPr>
          </w:p>
          <w:tbl>
            <w:tblPr>
              <w:tblStyle w:val="TableGrid"/>
              <w:tblW w:w="9377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1297"/>
              <w:gridCol w:w="1843"/>
              <w:gridCol w:w="1842"/>
              <w:gridCol w:w="1134"/>
              <w:gridCol w:w="851"/>
              <w:gridCol w:w="2410"/>
            </w:tblGrid>
            <w:tr w:rsidR="008C1EB0" w14:paraId="3B6C1FC8" w14:textId="52317B54" w:rsidTr="00FB73CE">
              <w:trPr>
                <w:trHeight w:val="398"/>
              </w:trPr>
              <w:tc>
                <w:tcPr>
                  <w:tcW w:w="1297" w:type="dxa"/>
                </w:tcPr>
                <w:p w14:paraId="61C6ADC4" w14:textId="755CA827" w:rsidR="007E6B80" w:rsidRPr="007E6B80" w:rsidRDefault="007E6B80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Phenotype</w:t>
                  </w:r>
                  <w:r w:rsidR="008C1EB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27B84B29" w14:textId="10F3F189" w:rsidR="007E6B80" w:rsidRPr="007E6B80" w:rsidRDefault="007E6B80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First line</w:t>
                  </w:r>
                </w:p>
              </w:tc>
              <w:tc>
                <w:tcPr>
                  <w:tcW w:w="1842" w:type="dxa"/>
                </w:tcPr>
                <w:p w14:paraId="2393F3B4" w14:textId="1F1A8BA6" w:rsidR="007E6B80" w:rsidRPr="007E6B80" w:rsidRDefault="007E6B80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Second line</w:t>
                  </w:r>
                </w:p>
              </w:tc>
              <w:tc>
                <w:tcPr>
                  <w:tcW w:w="1134" w:type="dxa"/>
                </w:tcPr>
                <w:p w14:paraId="771797BB" w14:textId="4476E479" w:rsidR="007E6B80" w:rsidRPr="007E6B80" w:rsidRDefault="007E6B80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Third line</w:t>
                  </w:r>
                </w:p>
              </w:tc>
              <w:tc>
                <w:tcPr>
                  <w:tcW w:w="851" w:type="dxa"/>
                </w:tcPr>
                <w:p w14:paraId="1E051D82" w14:textId="550CC05E" w:rsidR="007E6B80" w:rsidRPr="007E6B80" w:rsidRDefault="007E6B80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Fourth line</w:t>
                  </w:r>
                </w:p>
              </w:tc>
              <w:tc>
                <w:tcPr>
                  <w:tcW w:w="2410" w:type="dxa"/>
                </w:tcPr>
                <w:p w14:paraId="4F552739" w14:textId="67BF767F" w:rsidR="007E6B80" w:rsidRPr="007E6B80" w:rsidRDefault="00FB73CE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Outcome and c</w:t>
                  </w:r>
                  <w:r w:rsidR="007E6B80" w:rsidRPr="007E6B80">
                    <w:rPr>
                      <w:rFonts w:ascii="Arial" w:hAnsi="Arial" w:cs="Arial"/>
                      <w:sz w:val="18"/>
                      <w:szCs w:val="18"/>
                    </w:rPr>
                    <w:t>omments</w:t>
                  </w:r>
                </w:p>
              </w:tc>
            </w:tr>
            <w:tr w:rsidR="008C1EB0" w14:paraId="4B2728A1" w14:textId="59A3D5AB" w:rsidTr="00FB73CE">
              <w:trPr>
                <w:trHeight w:val="269"/>
              </w:trPr>
              <w:tc>
                <w:tcPr>
                  <w:tcW w:w="1297" w:type="dxa"/>
                </w:tcPr>
                <w:p w14:paraId="5F2D8638" w14:textId="287958AD" w:rsidR="007E6B80" w:rsidRPr="007E6B80" w:rsidRDefault="007E6B80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CADM with RP-ILD</w:t>
                  </w:r>
                  <w:r w:rsidR="008C1EB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388085C4" w14:textId="42B48913" w:rsidR="007E6B80" w:rsidRPr="007E6B80" w:rsidRDefault="007E6B80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Methylprednisolone</w:t>
                  </w: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br/>
                    <w:t>Mycophenolate</w:t>
                  </w: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br/>
                    <w:t>IVIg</w:t>
                  </w:r>
                </w:p>
                <w:p w14:paraId="41FB7721" w14:textId="01A433EF" w:rsidR="007E6B80" w:rsidRPr="007E6B80" w:rsidRDefault="007E6B80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Rituximab</w:t>
                  </w:r>
                </w:p>
              </w:tc>
              <w:tc>
                <w:tcPr>
                  <w:tcW w:w="1842" w:type="dxa"/>
                </w:tcPr>
                <w:p w14:paraId="3B0596F0" w14:textId="4EDDB0D7" w:rsidR="007E6B80" w:rsidRPr="007E6B80" w:rsidRDefault="007E6B80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CYC</w:t>
                  </w:r>
                </w:p>
              </w:tc>
              <w:tc>
                <w:tcPr>
                  <w:tcW w:w="1134" w:type="dxa"/>
                </w:tcPr>
                <w:p w14:paraId="26BFB422" w14:textId="6A03BEEA" w:rsidR="007E6B80" w:rsidRPr="007E6B80" w:rsidRDefault="007E6B80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CsA</w:t>
                  </w:r>
                  <w:proofErr w:type="spellEnd"/>
                </w:p>
              </w:tc>
              <w:tc>
                <w:tcPr>
                  <w:tcW w:w="851" w:type="dxa"/>
                </w:tcPr>
                <w:p w14:paraId="708303A2" w14:textId="7C501196" w:rsidR="007E6B80" w:rsidRPr="007E6B80" w:rsidRDefault="007E6B80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7D48DABB" w14:textId="34549E1F" w:rsidR="007E6B80" w:rsidRPr="007E6B80" w:rsidRDefault="00FB73CE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Died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15 days after treatment initiated.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 w:rsidR="007E6B80" w:rsidRPr="007E6B80">
                    <w:rPr>
                      <w:rFonts w:ascii="Arial" w:hAnsi="Arial" w:cs="Arial"/>
                      <w:sz w:val="18"/>
                      <w:szCs w:val="18"/>
                    </w:rPr>
                    <w:t>Results returned after treatment commenced.</w:t>
                  </w:r>
                </w:p>
              </w:tc>
            </w:tr>
            <w:tr w:rsidR="008C1EB0" w14:paraId="49500305" w14:textId="6EFC416D" w:rsidTr="00FB73CE">
              <w:trPr>
                <w:trHeight w:val="414"/>
              </w:trPr>
              <w:tc>
                <w:tcPr>
                  <w:tcW w:w="1297" w:type="dxa"/>
                </w:tcPr>
                <w:p w14:paraId="29348EEE" w14:textId="55D3025C" w:rsidR="007E6B80" w:rsidRPr="007E6B80" w:rsidRDefault="007E6B80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CADM with RP-ILD</w:t>
                  </w:r>
                </w:p>
              </w:tc>
              <w:tc>
                <w:tcPr>
                  <w:tcW w:w="1843" w:type="dxa"/>
                </w:tcPr>
                <w:p w14:paraId="543E971B" w14:textId="7771B7CD" w:rsidR="007E6B80" w:rsidRPr="007E6B80" w:rsidRDefault="007E6B80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Methylprednisolone</w:t>
                  </w: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br/>
                    <w:t>Mycophenolate</w:t>
                  </w: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CsA</w:t>
                  </w:r>
                  <w:proofErr w:type="spellEnd"/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br/>
                    <w:t>IVIg</w:t>
                  </w:r>
                </w:p>
              </w:tc>
              <w:tc>
                <w:tcPr>
                  <w:tcW w:w="1842" w:type="dxa"/>
                </w:tcPr>
                <w:p w14:paraId="19A62B9A" w14:textId="02B98971" w:rsidR="007E6B80" w:rsidRPr="007E6B80" w:rsidRDefault="007E6B80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Tofacitinib</w:t>
                  </w:r>
                </w:p>
              </w:tc>
              <w:tc>
                <w:tcPr>
                  <w:tcW w:w="1134" w:type="dxa"/>
                </w:tcPr>
                <w:p w14:paraId="5A972B5A" w14:textId="2AC81A13" w:rsidR="007E6B80" w:rsidRPr="007E6B80" w:rsidRDefault="007E6B80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IVIg</w:t>
                  </w: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br/>
                    <w:t>Rituximab</w:t>
                  </w:r>
                </w:p>
              </w:tc>
              <w:tc>
                <w:tcPr>
                  <w:tcW w:w="851" w:type="dxa"/>
                </w:tcPr>
                <w:p w14:paraId="605C1B33" w14:textId="18BEA433" w:rsidR="007E6B80" w:rsidRPr="007E6B80" w:rsidRDefault="007E6B80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PLEX</w:t>
                  </w:r>
                </w:p>
              </w:tc>
              <w:tc>
                <w:tcPr>
                  <w:tcW w:w="2410" w:type="dxa"/>
                </w:tcPr>
                <w:p w14:paraId="5E66D86C" w14:textId="0E740A22" w:rsidR="007E6B80" w:rsidRPr="007E6B80" w:rsidRDefault="007E6B80" w:rsidP="00F57E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Died</w:t>
                  </w:r>
                  <w:r w:rsidR="008C1EB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B73CE">
                    <w:rPr>
                      <w:rFonts w:ascii="Arial" w:hAnsi="Arial" w:cs="Arial"/>
                      <w:sz w:val="18"/>
                      <w:szCs w:val="18"/>
                    </w:rPr>
                    <w:t>48 days</w:t>
                  </w:r>
                  <w:r w:rsidR="008C1EB0">
                    <w:rPr>
                      <w:rFonts w:ascii="Arial" w:hAnsi="Arial" w:cs="Arial"/>
                      <w:sz w:val="18"/>
                      <w:szCs w:val="18"/>
                    </w:rPr>
                    <w:t xml:space="preserve"> after treatment initiated. </w:t>
                  </w:r>
                  <w:r w:rsidR="00FB73CE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CYC avoided for fertility.</w:t>
                  </w:r>
                </w:p>
              </w:tc>
            </w:tr>
            <w:tr w:rsidR="008C1EB0" w14:paraId="7C9D1FD2" w14:textId="77777777" w:rsidTr="00FB73CE">
              <w:trPr>
                <w:trHeight w:val="414"/>
              </w:trPr>
              <w:tc>
                <w:tcPr>
                  <w:tcW w:w="1297" w:type="dxa"/>
                </w:tcPr>
                <w:p w14:paraId="0BA8E7F9" w14:textId="42D91305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CADM, exacerbation of ILD</w:t>
                  </w:r>
                </w:p>
              </w:tc>
              <w:tc>
                <w:tcPr>
                  <w:tcW w:w="1843" w:type="dxa"/>
                </w:tcPr>
                <w:p w14:paraId="69D805B5" w14:textId="671A4760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Prednisolone</w:t>
                  </w: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br/>
                    <w:t>Mycophenolate</w:t>
                  </w: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br/>
                    <w:t>IVIg</w:t>
                  </w: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br/>
                    <w:t>Hydroxychloroquine</w:t>
                  </w:r>
                </w:p>
              </w:tc>
              <w:tc>
                <w:tcPr>
                  <w:tcW w:w="1842" w:type="dxa"/>
                </w:tcPr>
                <w:p w14:paraId="1F5FF12F" w14:textId="763111AD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Methylprednisolone</w:t>
                  </w: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br/>
                    <w:t>Tacrolimus</w:t>
                  </w: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br/>
                    <w:t>Rituximab</w:t>
                  </w:r>
                </w:p>
              </w:tc>
              <w:tc>
                <w:tcPr>
                  <w:tcW w:w="1134" w:type="dxa"/>
                </w:tcPr>
                <w:p w14:paraId="3EB4584A" w14:textId="77777777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27ABDBE9" w14:textId="77777777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072048FF" w14:textId="5C6AA420" w:rsidR="008C1EB0" w:rsidRPr="007E6B80" w:rsidRDefault="00FB73CE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Improved but did not recover to baseline.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Clinically stable 12 months later.</w:t>
                  </w:r>
                </w:p>
              </w:tc>
            </w:tr>
            <w:tr w:rsidR="008C1EB0" w14:paraId="2BE2C5AE" w14:textId="77777777" w:rsidTr="00FB73CE">
              <w:trPr>
                <w:trHeight w:val="414"/>
              </w:trPr>
              <w:tc>
                <w:tcPr>
                  <w:tcW w:w="1297" w:type="dxa"/>
                </w:tcPr>
                <w:p w14:paraId="661ECEE7" w14:textId="6D353F61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RP-ILD</w:t>
                  </w:r>
                </w:p>
              </w:tc>
              <w:tc>
                <w:tcPr>
                  <w:tcW w:w="1843" w:type="dxa"/>
                </w:tcPr>
                <w:p w14:paraId="46F46A88" w14:textId="1799E2AB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Methylprednisolone</w:t>
                  </w: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br/>
                    <w:t>CYC</w:t>
                  </w:r>
                </w:p>
              </w:tc>
              <w:tc>
                <w:tcPr>
                  <w:tcW w:w="1842" w:type="dxa"/>
                </w:tcPr>
                <w:p w14:paraId="29A7AB7D" w14:textId="77777777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206AAA36" w14:textId="77777777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37109E41" w14:textId="77777777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1393E5C7" w14:textId="11E90DEB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Died </w:t>
                  </w:r>
                  <w:r w:rsidR="00FB73CE">
                    <w:rPr>
                      <w:rFonts w:ascii="Arial" w:hAnsi="Arial" w:cs="Arial"/>
                      <w:sz w:val="18"/>
                      <w:szCs w:val="18"/>
                    </w:rPr>
                    <w:t>12 days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after treatment initiated.</w:t>
                  </w:r>
                  <w:r w:rsidR="00FB73CE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 w:rsidR="00FB73CE" w:rsidRPr="007E6B80">
                    <w:rPr>
                      <w:rFonts w:ascii="Arial" w:hAnsi="Arial" w:cs="Arial"/>
                      <w:sz w:val="18"/>
                      <w:szCs w:val="18"/>
                    </w:rPr>
                    <w:t>Results returned after death.</w:t>
                  </w:r>
                </w:p>
              </w:tc>
            </w:tr>
            <w:tr w:rsidR="008C1EB0" w14:paraId="18692B92" w14:textId="77777777" w:rsidTr="00FB73CE">
              <w:trPr>
                <w:trHeight w:val="414"/>
              </w:trPr>
              <w:tc>
                <w:tcPr>
                  <w:tcW w:w="1297" w:type="dxa"/>
                </w:tcPr>
                <w:p w14:paraId="78B7E4D2" w14:textId="302A93E0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RP-ILD</w:t>
                  </w:r>
                </w:p>
              </w:tc>
              <w:tc>
                <w:tcPr>
                  <w:tcW w:w="1843" w:type="dxa"/>
                </w:tcPr>
                <w:p w14:paraId="41D23C28" w14:textId="1505E433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Methylprednisolone</w:t>
                  </w:r>
                </w:p>
              </w:tc>
              <w:tc>
                <w:tcPr>
                  <w:tcW w:w="1842" w:type="dxa"/>
                </w:tcPr>
                <w:p w14:paraId="395AABB7" w14:textId="77777777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667A5582" w14:textId="77777777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7E2F47BF" w14:textId="77777777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76E05D53" w14:textId="34C7B1B6" w:rsidR="008C1EB0" w:rsidRPr="007E6B80" w:rsidRDefault="00FB73CE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Died 14 days after treatment initiated. VV-ECMO used. </w:t>
                  </w:r>
                  <w:r w:rsidR="008C1EB0">
                    <w:rPr>
                      <w:rFonts w:ascii="Arial" w:hAnsi="Arial" w:cs="Arial"/>
                      <w:sz w:val="18"/>
                      <w:szCs w:val="18"/>
                    </w:rPr>
                    <w:t>Results returned after death.</w:t>
                  </w:r>
                </w:p>
              </w:tc>
            </w:tr>
            <w:tr w:rsidR="008C1EB0" w14:paraId="0DC87226" w14:textId="77777777" w:rsidTr="00FB73CE">
              <w:trPr>
                <w:trHeight w:val="414"/>
              </w:trPr>
              <w:tc>
                <w:tcPr>
                  <w:tcW w:w="1297" w:type="dxa"/>
                </w:tcPr>
                <w:p w14:paraId="33430BD7" w14:textId="3FC49BB9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RP-ILD</w:t>
                  </w:r>
                </w:p>
              </w:tc>
              <w:tc>
                <w:tcPr>
                  <w:tcW w:w="1843" w:type="dxa"/>
                </w:tcPr>
                <w:p w14:paraId="2E29FC0A" w14:textId="55FEE116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Prednisolone</w:t>
                  </w:r>
                </w:p>
              </w:tc>
              <w:tc>
                <w:tcPr>
                  <w:tcW w:w="1842" w:type="dxa"/>
                </w:tcPr>
                <w:p w14:paraId="1BB6E9AC" w14:textId="77777777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532F1D63" w14:textId="77777777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518737C1" w14:textId="77777777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4B72CA51" w14:textId="675D151C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Died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B73CE">
                    <w:rPr>
                      <w:rFonts w:ascii="Arial" w:hAnsi="Arial" w:cs="Arial"/>
                      <w:sz w:val="18"/>
                      <w:szCs w:val="18"/>
                    </w:rPr>
                    <w:t>24 days after treatment initiated. Co-morbidities and adherence impacted treatment.</w:t>
                  </w:r>
                </w:p>
              </w:tc>
            </w:tr>
            <w:tr w:rsidR="008C1EB0" w14:paraId="164BA229" w14:textId="2A89A1BE" w:rsidTr="00FB73CE">
              <w:trPr>
                <w:trHeight w:val="75"/>
              </w:trPr>
              <w:tc>
                <w:tcPr>
                  <w:tcW w:w="1297" w:type="dxa"/>
                </w:tcPr>
                <w:p w14:paraId="75E88126" w14:textId="7A0CB5FE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Myositis with progressive ILD</w:t>
                  </w:r>
                </w:p>
              </w:tc>
              <w:tc>
                <w:tcPr>
                  <w:tcW w:w="1843" w:type="dxa"/>
                </w:tcPr>
                <w:p w14:paraId="73AF7321" w14:textId="553437BC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Prednisolone</w:t>
                  </w: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br/>
                    <w:t>Mycophenolate</w:t>
                  </w:r>
                </w:p>
              </w:tc>
              <w:tc>
                <w:tcPr>
                  <w:tcW w:w="1842" w:type="dxa"/>
                </w:tcPr>
                <w:p w14:paraId="2CE0C196" w14:textId="797BE553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Rituximab</w:t>
                  </w:r>
                </w:p>
              </w:tc>
              <w:tc>
                <w:tcPr>
                  <w:tcW w:w="1134" w:type="dxa"/>
                </w:tcPr>
                <w:p w14:paraId="456F5010" w14:textId="77777777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5A5F54F8" w14:textId="77777777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7D0ECF2F" w14:textId="1D05A304" w:rsidR="008C1EB0" w:rsidRPr="007E6B80" w:rsidRDefault="00FB73CE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Slowly progressive ILD over 5 years. Multiple myositis antibodies.</w:t>
                  </w:r>
                </w:p>
              </w:tc>
            </w:tr>
            <w:tr w:rsidR="008C1EB0" w14:paraId="7C074EB6" w14:textId="3C2F441F" w:rsidTr="00FB73CE">
              <w:trPr>
                <w:trHeight w:val="369"/>
              </w:trPr>
              <w:tc>
                <w:tcPr>
                  <w:tcW w:w="1297" w:type="dxa"/>
                </w:tcPr>
                <w:p w14:paraId="245B2523" w14:textId="2A9AB90D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</w:t>
                  </w: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yositis with mild ILD</w:t>
                  </w:r>
                </w:p>
              </w:tc>
              <w:tc>
                <w:tcPr>
                  <w:tcW w:w="1843" w:type="dxa"/>
                </w:tcPr>
                <w:p w14:paraId="57AC72A0" w14:textId="4D2F96EE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t>Prednisolone</w:t>
                  </w: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br/>
                    <w:t>IVIg</w:t>
                  </w:r>
                  <w:r w:rsidRPr="007E6B80">
                    <w:rPr>
                      <w:rFonts w:ascii="Arial" w:hAnsi="Arial" w:cs="Arial"/>
                      <w:sz w:val="18"/>
                      <w:szCs w:val="18"/>
                    </w:rPr>
                    <w:br/>
                    <w:t>Rituximab</w:t>
                  </w:r>
                </w:p>
              </w:tc>
              <w:tc>
                <w:tcPr>
                  <w:tcW w:w="1842" w:type="dxa"/>
                </w:tcPr>
                <w:p w14:paraId="0DB645D6" w14:textId="77777777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24A1D0D3" w14:textId="77777777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6ED4FD53" w14:textId="77777777" w:rsidR="008C1EB0" w:rsidRPr="007E6B8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7C553173" w14:textId="15A70919" w:rsidR="008C1EB0" w:rsidRPr="007E6B80" w:rsidRDefault="00FB73CE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Stable, mild ILD at 12 months of follow-up.</w:t>
                  </w:r>
                </w:p>
              </w:tc>
            </w:tr>
            <w:tr w:rsidR="008C1EB0" w14:paraId="03F7085C" w14:textId="77777777" w:rsidTr="008C1EB0">
              <w:trPr>
                <w:trHeight w:val="385"/>
              </w:trPr>
              <w:tc>
                <w:tcPr>
                  <w:tcW w:w="9377" w:type="dxa"/>
                  <w:gridSpan w:val="6"/>
                </w:tcPr>
                <w:p w14:paraId="5D93A392" w14:textId="300F4AFF" w:rsidR="008C1EB0" w:rsidRDefault="008C1EB0" w:rsidP="008C1EB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CYC=cyclophosphamide,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CsA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=cyclosporin, IVIg= intravenous immunoglobulin, PLEX= plasma exchange, VV-ECMO=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Veno</w:t>
                  </w:r>
                  <w:proofErr w:type="spellEnd"/>
                  <w:r w:rsidR="00FB73CE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venous extracorporeal membrane oxygenation.</w:t>
                  </w:r>
                </w:p>
              </w:tc>
            </w:tr>
          </w:tbl>
          <w:p w14:paraId="68537800" w14:textId="77777777" w:rsidR="001564A4" w:rsidRPr="00024BD8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77777777" w:rsidR="001564A4" w:rsidRPr="00024BD8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024BD8">
              <w:rPr>
                <w:rStyle w:val="A4"/>
                <w:b/>
                <w:bCs/>
              </w:rPr>
              <w:t xml:space="preserve">Conclusion: </w:t>
            </w:r>
          </w:p>
          <w:p w14:paraId="196E7BAC" w14:textId="4866A0CB" w:rsidR="001564A4" w:rsidRPr="00024BD8" w:rsidRDefault="007E6B80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Management of MDA5 </w:t>
            </w:r>
            <w:r w:rsidR="001D7E46">
              <w:rPr>
                <w:sz w:val="22"/>
                <w:szCs w:val="22"/>
              </w:rPr>
              <w:t xml:space="preserve">antibody </w:t>
            </w:r>
            <w:r>
              <w:rPr>
                <w:sz w:val="22"/>
                <w:szCs w:val="22"/>
              </w:rPr>
              <w:t xml:space="preserve">associated ILD at our centre is variable. This is in part due to the spectrum of presentations, time to </w:t>
            </w:r>
            <w:r w:rsidR="00FA2C24">
              <w:rPr>
                <w:sz w:val="22"/>
                <w:szCs w:val="22"/>
              </w:rPr>
              <w:t>definitive diagnosis, access to and toxicities of treatments</w:t>
            </w:r>
            <w:r>
              <w:rPr>
                <w:sz w:val="22"/>
                <w:szCs w:val="22"/>
              </w:rPr>
              <w:t xml:space="preserve">. </w:t>
            </w:r>
            <w:r w:rsidR="007D71EC">
              <w:rPr>
                <w:sz w:val="22"/>
                <w:szCs w:val="22"/>
              </w:rPr>
              <w:t>Mortality rate in our centre is high, even when extensive lines of treatment are used.</w:t>
            </w:r>
            <w:r w:rsidR="001564A4">
              <w:rPr>
                <w:sz w:val="22"/>
                <w:szCs w:val="22"/>
              </w:rPr>
              <w:br/>
            </w: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65BCDD51" w:rsidR="001564A4" w:rsidRDefault="001421BA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None.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24994B12" w14:textId="77777777" w:rsidR="00F57E5A" w:rsidRDefault="00F57E5A" w:rsidP="001564A4"/>
    <w:sectPr w:rsidR="00F57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3EA10" w14:textId="77777777" w:rsidR="002434C1" w:rsidRDefault="002434C1" w:rsidP="00F57E5A">
      <w:r>
        <w:separator/>
      </w:r>
    </w:p>
  </w:endnote>
  <w:endnote w:type="continuationSeparator" w:id="0">
    <w:p w14:paraId="59C43B3B" w14:textId="77777777" w:rsidR="002434C1" w:rsidRDefault="002434C1" w:rsidP="00F5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3D68" w14:textId="77777777" w:rsidR="002434C1" w:rsidRDefault="002434C1" w:rsidP="00F57E5A">
      <w:r>
        <w:separator/>
      </w:r>
    </w:p>
  </w:footnote>
  <w:footnote w:type="continuationSeparator" w:id="0">
    <w:p w14:paraId="11B109F4" w14:textId="77777777" w:rsidR="002434C1" w:rsidRDefault="002434C1" w:rsidP="00F57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87D42"/>
    <w:multiLevelType w:val="multilevel"/>
    <w:tmpl w:val="4B5C5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2C5601"/>
    <w:multiLevelType w:val="hybridMultilevel"/>
    <w:tmpl w:val="142E7200"/>
    <w:lvl w:ilvl="0" w:tplc="3E3278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774437">
    <w:abstractNumId w:val="1"/>
  </w:num>
  <w:num w:numId="2" w16cid:durableId="55011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24BD8"/>
    <w:rsid w:val="00045568"/>
    <w:rsid w:val="000A66D8"/>
    <w:rsid w:val="000E0D6D"/>
    <w:rsid w:val="001421BA"/>
    <w:rsid w:val="00153955"/>
    <w:rsid w:val="001564A4"/>
    <w:rsid w:val="0018379E"/>
    <w:rsid w:val="001D7E46"/>
    <w:rsid w:val="002434C1"/>
    <w:rsid w:val="002A1256"/>
    <w:rsid w:val="004C53A6"/>
    <w:rsid w:val="004E5C71"/>
    <w:rsid w:val="0051574E"/>
    <w:rsid w:val="005E079B"/>
    <w:rsid w:val="006448EE"/>
    <w:rsid w:val="00677E28"/>
    <w:rsid w:val="007D71EC"/>
    <w:rsid w:val="007E6B80"/>
    <w:rsid w:val="007F7F47"/>
    <w:rsid w:val="008803FA"/>
    <w:rsid w:val="008A6DD2"/>
    <w:rsid w:val="008C1EB0"/>
    <w:rsid w:val="008D6D04"/>
    <w:rsid w:val="008F19DE"/>
    <w:rsid w:val="00AE48A1"/>
    <w:rsid w:val="00B12C1B"/>
    <w:rsid w:val="00B12E32"/>
    <w:rsid w:val="00B44421"/>
    <w:rsid w:val="00DB7C2F"/>
    <w:rsid w:val="00E0700F"/>
    <w:rsid w:val="00EE5964"/>
    <w:rsid w:val="00EF5D4A"/>
    <w:rsid w:val="00F57E5A"/>
    <w:rsid w:val="00F71A16"/>
    <w:rsid w:val="00FA2C24"/>
    <w:rsid w:val="00FB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1421BA"/>
    <w:pPr>
      <w:ind w:left="720"/>
      <w:contextualSpacing/>
    </w:pPr>
    <w:rPr>
      <w:rFonts w:asciiTheme="minorHAnsi" w:eastAsiaTheme="minorHAnsi" w:hAnsiTheme="minorHAnsi" w:cstheme="minorBidi"/>
      <w:lang w:val="en-AU"/>
    </w:rPr>
  </w:style>
  <w:style w:type="paragraph" w:styleId="NormalWeb">
    <w:name w:val="Normal (Web)"/>
    <w:basedOn w:val="Normal"/>
    <w:uiPriority w:val="99"/>
    <w:unhideWhenUsed/>
    <w:rsid w:val="00024BD8"/>
    <w:pPr>
      <w:spacing w:before="100" w:beforeAutospacing="1" w:after="100" w:afterAutospacing="1"/>
    </w:pPr>
    <w:rPr>
      <w:lang w:val="en-AU" w:eastAsia="en-GB"/>
    </w:rPr>
  </w:style>
  <w:style w:type="table" w:styleId="TableGrid">
    <w:name w:val="Table Grid"/>
    <w:basedOn w:val="TableNormal"/>
    <w:uiPriority w:val="39"/>
    <w:rsid w:val="00F57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7E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E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7E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E5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5395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Reece Jefferies</cp:lastModifiedBy>
  <cp:revision>3</cp:revision>
  <dcterms:created xsi:type="dcterms:W3CDTF">2023-10-19T06:35:00Z</dcterms:created>
  <dcterms:modified xsi:type="dcterms:W3CDTF">2023-10-19T06:41:00Z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