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E50DE" w14:textId="606D356C" w:rsidR="00070E5C" w:rsidRPr="00467F6E" w:rsidRDefault="008C17B2" w:rsidP="001B02B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7F6E">
        <w:rPr>
          <w:rFonts w:ascii="Arial" w:hAnsi="Arial" w:cs="Arial"/>
          <w:b/>
          <w:bCs/>
          <w:sz w:val="22"/>
          <w:szCs w:val="22"/>
        </w:rPr>
        <w:t xml:space="preserve">Improving 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R</w:t>
      </w:r>
      <w:r w:rsidRPr="00467F6E">
        <w:rPr>
          <w:rFonts w:ascii="Arial" w:hAnsi="Arial" w:cs="Arial"/>
          <w:b/>
          <w:bCs/>
          <w:sz w:val="22"/>
          <w:szCs w:val="22"/>
        </w:rPr>
        <w:t xml:space="preserve">isk 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P</w:t>
      </w:r>
      <w:r w:rsidRPr="00467F6E">
        <w:rPr>
          <w:rFonts w:ascii="Arial" w:hAnsi="Arial" w:cs="Arial"/>
          <w:b/>
          <w:bCs/>
          <w:sz w:val="22"/>
          <w:szCs w:val="22"/>
        </w:rPr>
        <w:t xml:space="preserve">rediction and 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M</w:t>
      </w:r>
      <w:r w:rsidRPr="00467F6E">
        <w:rPr>
          <w:rFonts w:ascii="Arial" w:hAnsi="Arial" w:cs="Arial"/>
          <w:b/>
          <w:bCs/>
          <w:sz w:val="22"/>
          <w:szCs w:val="22"/>
        </w:rPr>
        <w:t xml:space="preserve">echanistic 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U</w:t>
      </w:r>
      <w:r w:rsidRPr="00467F6E">
        <w:rPr>
          <w:rFonts w:ascii="Arial" w:hAnsi="Arial" w:cs="Arial"/>
          <w:b/>
          <w:bCs/>
          <w:sz w:val="22"/>
          <w:szCs w:val="22"/>
        </w:rPr>
        <w:t xml:space="preserve">nderstanding of 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A</w:t>
      </w:r>
      <w:r w:rsidRPr="00467F6E">
        <w:rPr>
          <w:rFonts w:ascii="Arial" w:hAnsi="Arial" w:cs="Arial"/>
          <w:b/>
          <w:bCs/>
          <w:sz w:val="22"/>
          <w:szCs w:val="22"/>
        </w:rPr>
        <w:t xml:space="preserve">trial 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F</w:t>
      </w:r>
      <w:r w:rsidRPr="00467F6E">
        <w:rPr>
          <w:rFonts w:ascii="Arial" w:hAnsi="Arial" w:cs="Arial"/>
          <w:b/>
          <w:bCs/>
          <w:sz w:val="22"/>
          <w:szCs w:val="22"/>
        </w:rPr>
        <w:t>ibrillatio</w:t>
      </w:r>
      <w:r w:rsidR="002D4B81" w:rsidRPr="00467F6E">
        <w:rPr>
          <w:rFonts w:ascii="Arial" w:hAnsi="Arial" w:cs="Arial"/>
          <w:b/>
          <w:bCs/>
          <w:sz w:val="22"/>
          <w:szCs w:val="22"/>
        </w:rPr>
        <w:t>n</w:t>
      </w:r>
    </w:p>
    <w:p w14:paraId="271F0928" w14:textId="0598D413" w:rsidR="0072627F" w:rsidRPr="00E97E50" w:rsidRDefault="0072627F" w:rsidP="001B02B3">
      <w:pPr>
        <w:pStyle w:val="NormalWeb"/>
        <w:rPr>
          <w:rFonts w:ascii="Arial" w:hAnsi="Arial" w:cs="Arial"/>
          <w:sz w:val="22"/>
          <w:szCs w:val="22"/>
        </w:rPr>
      </w:pPr>
      <w:r w:rsidRPr="00E97E50">
        <w:rPr>
          <w:rStyle w:val="Strong"/>
          <w:rFonts w:ascii="Arial" w:eastAsiaTheme="majorEastAsia" w:hAnsi="Arial" w:cs="Arial"/>
          <w:sz w:val="22"/>
          <w:szCs w:val="22"/>
        </w:rPr>
        <w:t>Background</w:t>
      </w:r>
      <w:r w:rsidRPr="00E97E50">
        <w:rPr>
          <w:rFonts w:ascii="Arial" w:hAnsi="Arial" w:cs="Arial"/>
          <w:sz w:val="22"/>
          <w:szCs w:val="22"/>
        </w:rPr>
        <w:br/>
        <w:t xml:space="preserve">In New Zealand, over 60,000 individuals have atrial fibrillation (AF), the most common arrhythmia, with many likely undiagnosed due to the lack of AF-specific biomarkers. Polygenic risk scores for AF (AF-PRS), which aggregate genetic susceptibility from common variants, show promise for predicting AF risk, but their utility in patients with coronary artery disease (CAD) remains unclear. </w:t>
      </w:r>
      <w:r w:rsidR="001C60D9" w:rsidRPr="00E97E50">
        <w:rPr>
          <w:rFonts w:ascii="Arial" w:hAnsi="Arial" w:cs="Arial"/>
          <w:sz w:val="22"/>
          <w:szCs w:val="22"/>
        </w:rPr>
        <w:t>Further</w:t>
      </w:r>
      <w:r w:rsidRPr="00E97E50">
        <w:rPr>
          <w:rFonts w:ascii="Arial" w:hAnsi="Arial" w:cs="Arial"/>
          <w:sz w:val="22"/>
          <w:szCs w:val="22"/>
        </w:rPr>
        <w:t xml:space="preserve">, the molecular mechanisms underlying AF are incompletely understood. This study evaluated whether AF-PRS improve risk prediction in CAD patients following acute coronary syndrome (ACS) and </w:t>
      </w:r>
      <w:r w:rsidR="00EA32B3" w:rsidRPr="00E97E50">
        <w:rPr>
          <w:rFonts w:ascii="Arial" w:hAnsi="Arial" w:cs="Arial"/>
          <w:sz w:val="22"/>
          <w:szCs w:val="22"/>
        </w:rPr>
        <w:t>characterised</w:t>
      </w:r>
      <w:r w:rsidRPr="00E97E50">
        <w:rPr>
          <w:rFonts w:ascii="Arial" w:hAnsi="Arial" w:cs="Arial"/>
          <w:sz w:val="22"/>
          <w:szCs w:val="22"/>
        </w:rPr>
        <w:t xml:space="preserve"> atrial gene expression </w:t>
      </w:r>
      <w:r w:rsidR="00EA32B3" w:rsidRPr="00E97E50">
        <w:rPr>
          <w:rFonts w:ascii="Arial" w:hAnsi="Arial" w:cs="Arial"/>
          <w:sz w:val="22"/>
          <w:szCs w:val="22"/>
        </w:rPr>
        <w:t>changes</w:t>
      </w:r>
      <w:r w:rsidRPr="00E97E50">
        <w:rPr>
          <w:rFonts w:ascii="Arial" w:hAnsi="Arial" w:cs="Arial"/>
          <w:sz w:val="22"/>
          <w:szCs w:val="22"/>
        </w:rPr>
        <w:t xml:space="preserve"> associated with AF susceptibility and resistance.</w:t>
      </w:r>
    </w:p>
    <w:p w14:paraId="6CAF1354" w14:textId="5042AA22" w:rsidR="0072627F" w:rsidRPr="00E97E50" w:rsidRDefault="0072627F" w:rsidP="001B02B3">
      <w:pPr>
        <w:pStyle w:val="NormalWeb"/>
        <w:rPr>
          <w:rFonts w:ascii="Arial" w:hAnsi="Arial" w:cs="Arial"/>
          <w:sz w:val="22"/>
          <w:szCs w:val="22"/>
        </w:rPr>
      </w:pPr>
      <w:r w:rsidRPr="00E97E50">
        <w:rPr>
          <w:rStyle w:val="Strong"/>
          <w:rFonts w:ascii="Arial" w:eastAsiaTheme="majorEastAsia" w:hAnsi="Arial" w:cs="Arial"/>
          <w:sz w:val="22"/>
          <w:szCs w:val="22"/>
        </w:rPr>
        <w:t>Methods</w:t>
      </w:r>
      <w:r w:rsidRPr="00E97E50">
        <w:rPr>
          <w:rFonts w:ascii="Arial" w:hAnsi="Arial" w:cs="Arial"/>
          <w:sz w:val="22"/>
          <w:szCs w:val="22"/>
        </w:rPr>
        <w:br/>
        <w:t>Published AF-PRS</w:t>
      </w:r>
      <w:r w:rsidR="00A671B2" w:rsidRPr="00E97E50">
        <w:rPr>
          <w:rFonts w:ascii="Arial" w:hAnsi="Arial" w:cs="Arial"/>
          <w:sz w:val="22"/>
          <w:szCs w:val="22"/>
        </w:rPr>
        <w:t xml:space="preserve"> </w:t>
      </w:r>
      <w:r w:rsidRPr="00E97E50">
        <w:rPr>
          <w:rFonts w:ascii="Arial" w:hAnsi="Arial" w:cs="Arial"/>
          <w:sz w:val="22"/>
          <w:szCs w:val="22"/>
        </w:rPr>
        <w:t xml:space="preserve">were calculated for 1,273 CAD patients without prior AF who survived </w:t>
      </w:r>
      <w:r w:rsidR="00D9307F" w:rsidRPr="00E97E50">
        <w:rPr>
          <w:rFonts w:ascii="Arial" w:hAnsi="Arial" w:cs="Arial"/>
          <w:sz w:val="22"/>
          <w:szCs w:val="22"/>
        </w:rPr>
        <w:t xml:space="preserve">to </w:t>
      </w:r>
      <w:r w:rsidRPr="00E97E50">
        <w:rPr>
          <w:rFonts w:ascii="Arial" w:hAnsi="Arial" w:cs="Arial"/>
          <w:sz w:val="22"/>
          <w:szCs w:val="22"/>
        </w:rPr>
        <w:t>one year following ACS. Logistic regression assessed associations between AF-PRS and incident AF, adjusting for GRACE score, CHARGE-AF score, NT-</w:t>
      </w:r>
      <w:proofErr w:type="spellStart"/>
      <w:r w:rsidRPr="00E97E50">
        <w:rPr>
          <w:rFonts w:ascii="Arial" w:hAnsi="Arial" w:cs="Arial"/>
          <w:sz w:val="22"/>
          <w:szCs w:val="22"/>
        </w:rPr>
        <w:t>proBNP</w:t>
      </w:r>
      <w:proofErr w:type="spellEnd"/>
      <w:r w:rsidRPr="00E97E50">
        <w:rPr>
          <w:rFonts w:ascii="Arial" w:hAnsi="Arial" w:cs="Arial"/>
          <w:sz w:val="22"/>
          <w:szCs w:val="22"/>
        </w:rPr>
        <w:t xml:space="preserve">, sex, and ethnicity. Predictive performance was evaluated using the area under the receiver operating characteristic curve. In parallel, AF was induced in 11 female sheep via eight weeks of </w:t>
      </w:r>
      <w:proofErr w:type="gramStart"/>
      <w:r w:rsidRPr="00E97E50">
        <w:rPr>
          <w:rFonts w:ascii="Arial" w:hAnsi="Arial" w:cs="Arial"/>
          <w:sz w:val="22"/>
          <w:szCs w:val="22"/>
        </w:rPr>
        <w:t>tachypacing;</w:t>
      </w:r>
      <w:proofErr w:type="gramEnd"/>
      <w:r w:rsidRPr="00E97E50">
        <w:rPr>
          <w:rFonts w:ascii="Arial" w:hAnsi="Arial" w:cs="Arial"/>
          <w:sz w:val="22"/>
          <w:szCs w:val="22"/>
        </w:rPr>
        <w:t xml:space="preserve"> four developed sustained AF and seven remained resistant. Five healthy sheep served as controls. RNA sequencing </w:t>
      </w:r>
      <w:r w:rsidR="005938F8" w:rsidRPr="00E97E50">
        <w:rPr>
          <w:rFonts w:ascii="Arial" w:hAnsi="Arial" w:cs="Arial"/>
          <w:sz w:val="22"/>
          <w:szCs w:val="22"/>
        </w:rPr>
        <w:t xml:space="preserve">was performed to </w:t>
      </w:r>
      <w:r w:rsidRPr="00E97E50">
        <w:rPr>
          <w:rFonts w:ascii="Arial" w:hAnsi="Arial" w:cs="Arial"/>
          <w:sz w:val="22"/>
          <w:szCs w:val="22"/>
        </w:rPr>
        <w:t>identif</w:t>
      </w:r>
      <w:r w:rsidR="005938F8" w:rsidRPr="00E97E50">
        <w:rPr>
          <w:rFonts w:ascii="Arial" w:hAnsi="Arial" w:cs="Arial"/>
          <w:sz w:val="22"/>
          <w:szCs w:val="22"/>
        </w:rPr>
        <w:t xml:space="preserve">y </w:t>
      </w:r>
      <w:r w:rsidRPr="00E97E50">
        <w:rPr>
          <w:rFonts w:ascii="Arial" w:hAnsi="Arial" w:cs="Arial"/>
          <w:sz w:val="22"/>
          <w:szCs w:val="22"/>
        </w:rPr>
        <w:t>differentially expressed genes and pathways.</w:t>
      </w:r>
    </w:p>
    <w:p w14:paraId="13856884" w14:textId="09B47334" w:rsidR="0072627F" w:rsidRPr="00E97E50" w:rsidRDefault="0072627F" w:rsidP="001B02B3">
      <w:pPr>
        <w:pStyle w:val="NormalWeb"/>
        <w:rPr>
          <w:rFonts w:ascii="Arial" w:hAnsi="Arial" w:cs="Arial"/>
          <w:sz w:val="22"/>
          <w:szCs w:val="22"/>
        </w:rPr>
      </w:pPr>
      <w:r w:rsidRPr="00E97E50">
        <w:rPr>
          <w:rStyle w:val="Strong"/>
          <w:rFonts w:ascii="Arial" w:eastAsiaTheme="majorEastAsia" w:hAnsi="Arial" w:cs="Arial"/>
          <w:sz w:val="22"/>
          <w:szCs w:val="22"/>
        </w:rPr>
        <w:t>Results</w:t>
      </w:r>
      <w:r w:rsidRPr="00E97E50">
        <w:rPr>
          <w:rFonts w:ascii="Arial" w:hAnsi="Arial" w:cs="Arial"/>
          <w:sz w:val="22"/>
          <w:szCs w:val="22"/>
        </w:rPr>
        <w:br/>
        <w:t xml:space="preserve">Sixty-five patients developed new-onset AF within </w:t>
      </w:r>
      <w:proofErr w:type="gramStart"/>
      <w:r w:rsidRPr="00E97E50">
        <w:rPr>
          <w:rFonts w:ascii="Arial" w:hAnsi="Arial" w:cs="Arial"/>
          <w:sz w:val="22"/>
          <w:szCs w:val="22"/>
        </w:rPr>
        <w:t>one year</w:t>
      </w:r>
      <w:proofErr w:type="gramEnd"/>
      <w:r w:rsidRPr="00E97E50">
        <w:rPr>
          <w:rFonts w:ascii="Arial" w:hAnsi="Arial" w:cs="Arial"/>
          <w:sz w:val="22"/>
          <w:szCs w:val="22"/>
        </w:rPr>
        <w:t xml:space="preserve"> post-ACS. Four AF-PRS were independently associated with AF and improved prediction beyond clinical risk scores. </w:t>
      </w:r>
      <w:r w:rsidR="00E71DDE" w:rsidRPr="00E97E50">
        <w:rPr>
          <w:rFonts w:ascii="Arial" w:hAnsi="Arial" w:cs="Arial"/>
          <w:sz w:val="22"/>
          <w:szCs w:val="22"/>
        </w:rPr>
        <w:t xml:space="preserve">The </w:t>
      </w:r>
      <w:r w:rsidRPr="00E97E50">
        <w:rPr>
          <w:rFonts w:ascii="Arial" w:hAnsi="Arial" w:cs="Arial"/>
          <w:sz w:val="22"/>
          <w:szCs w:val="22"/>
        </w:rPr>
        <w:t>AF, resistant, and control sheep exhibited distinct gene expression patterns, highlighting pathways associated with AF susceptibility and protection.</w:t>
      </w:r>
    </w:p>
    <w:p w14:paraId="0007521E" w14:textId="77777777" w:rsidR="0072627F" w:rsidRPr="00E97E50" w:rsidRDefault="0072627F" w:rsidP="001B02B3">
      <w:pPr>
        <w:pStyle w:val="NormalWeb"/>
        <w:rPr>
          <w:rFonts w:ascii="Arial" w:hAnsi="Arial" w:cs="Arial"/>
          <w:sz w:val="22"/>
          <w:szCs w:val="22"/>
        </w:rPr>
      </w:pPr>
      <w:r w:rsidRPr="00E97E50">
        <w:rPr>
          <w:rStyle w:val="Strong"/>
          <w:rFonts w:ascii="Arial" w:eastAsiaTheme="majorEastAsia" w:hAnsi="Arial" w:cs="Arial"/>
          <w:sz w:val="22"/>
          <w:szCs w:val="22"/>
        </w:rPr>
        <w:t>Conclusion</w:t>
      </w:r>
      <w:r w:rsidRPr="00E97E50">
        <w:rPr>
          <w:rFonts w:ascii="Arial" w:hAnsi="Arial" w:cs="Arial"/>
          <w:sz w:val="22"/>
          <w:szCs w:val="22"/>
        </w:rPr>
        <w:br/>
        <w:t>Integrating genetic risk into clinical models improves AF prediction, while transcriptomic profiling provides insight into molecular pathways underlying AF susceptibility and resistance.</w:t>
      </w:r>
    </w:p>
    <w:p w14:paraId="3B9F260F" w14:textId="77777777" w:rsidR="00070E5C" w:rsidRPr="00E97E50" w:rsidRDefault="00070E5C" w:rsidP="001B02B3">
      <w:pPr>
        <w:pStyle w:val="NormalWeb"/>
        <w:rPr>
          <w:rFonts w:ascii="Arial" w:hAnsi="Arial" w:cs="Arial"/>
          <w:sz w:val="22"/>
          <w:szCs w:val="22"/>
        </w:rPr>
      </w:pPr>
    </w:p>
    <w:sectPr w:rsidR="00070E5C" w:rsidRPr="00E97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2"/>
    <w:rsid w:val="000218A9"/>
    <w:rsid w:val="00070E5C"/>
    <w:rsid w:val="0013497E"/>
    <w:rsid w:val="001B02B3"/>
    <w:rsid w:val="001B4CD4"/>
    <w:rsid w:val="001C60D9"/>
    <w:rsid w:val="002C4AD9"/>
    <w:rsid w:val="002D4B81"/>
    <w:rsid w:val="003308DC"/>
    <w:rsid w:val="00341B91"/>
    <w:rsid w:val="003D3458"/>
    <w:rsid w:val="00403725"/>
    <w:rsid w:val="00431659"/>
    <w:rsid w:val="00467F6E"/>
    <w:rsid w:val="004718CA"/>
    <w:rsid w:val="0054257D"/>
    <w:rsid w:val="005938F8"/>
    <w:rsid w:val="005C4226"/>
    <w:rsid w:val="00617C9E"/>
    <w:rsid w:val="0072627F"/>
    <w:rsid w:val="00736A4F"/>
    <w:rsid w:val="0086725A"/>
    <w:rsid w:val="008C17B2"/>
    <w:rsid w:val="009065E3"/>
    <w:rsid w:val="0092349D"/>
    <w:rsid w:val="00923850"/>
    <w:rsid w:val="00A671B2"/>
    <w:rsid w:val="00A97DD7"/>
    <w:rsid w:val="00B428B1"/>
    <w:rsid w:val="00B62A5B"/>
    <w:rsid w:val="00B655C6"/>
    <w:rsid w:val="00CA1B63"/>
    <w:rsid w:val="00CF5D47"/>
    <w:rsid w:val="00D9307F"/>
    <w:rsid w:val="00DF66AF"/>
    <w:rsid w:val="00E639B1"/>
    <w:rsid w:val="00E71DDE"/>
    <w:rsid w:val="00E97E50"/>
    <w:rsid w:val="00EA32B3"/>
    <w:rsid w:val="00F74C3F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1809"/>
  <w15:chartTrackingRefBased/>
  <w15:docId w15:val="{C5A3545C-E44B-8843-BE72-77BB5DBE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B2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7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7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7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7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7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7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7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7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7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7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7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7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7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4AD9"/>
    <w:pPr>
      <w:spacing w:before="100" w:beforeAutospacing="1" w:after="100" w:afterAutospacing="1"/>
    </w:pPr>
    <w:rPr>
      <w:lang w:val="en-NZ" w:eastAsia="en-GB"/>
    </w:rPr>
  </w:style>
  <w:style w:type="character" w:styleId="Strong">
    <w:name w:val="Strong"/>
    <w:basedOn w:val="DefaultParagraphFont"/>
    <w:uiPriority w:val="22"/>
    <w:qFormat/>
    <w:rsid w:val="002C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118E20D0E9047B2A43936D90679F4" ma:contentTypeVersion="13" ma:contentTypeDescription="Create a new document." ma:contentTypeScope="" ma:versionID="4cb60dada7bfa177b117255c270b5842">
  <xsd:schema xmlns:xsd="http://www.w3.org/2001/XMLSchema" xmlns:xs="http://www.w3.org/2001/XMLSchema" xmlns:p="http://schemas.microsoft.com/office/2006/metadata/properties" xmlns:ns2="a77b1b42-c3be-474a-a088-415c64196d40" xmlns:ns3="85f9c881-3067-4172-bc3c-f65cf7fa794a" targetNamespace="http://schemas.microsoft.com/office/2006/metadata/properties" ma:root="true" ma:fieldsID="0de37cd89a0104dda48fe95d7f4095a2" ns2:_="" ns3:_="">
    <xsd:import namespace="a77b1b42-c3be-474a-a088-415c64196d40"/>
    <xsd:import namespace="85f9c881-3067-4172-bc3c-f65cf7fa7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b1b42-c3be-474a-a088-415c6419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9c881-3067-4172-bc3c-f65cf7fa79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a853d5-b0ec-40a4-acaa-aea4bcc17512}" ma:internalName="TaxCatchAll" ma:showField="CatchAllData" ma:web="85f9c881-3067-4172-bc3c-f65cf7fa7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9c881-3067-4172-bc3c-f65cf7fa794a" xsi:nil="true"/>
    <lcf76f155ced4ddcb4097134ff3c332f xmlns="a77b1b42-c3be-474a-a088-415c64196d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4282D-BE10-4E80-8C13-0062001C1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1A7DF-682E-4CD2-987A-3FFA39DBF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b1b42-c3be-474a-a088-415c64196d40"/>
    <ds:schemaRef ds:uri="85f9c881-3067-4172-bc3c-f65cf7fa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E6A6C-E1B8-4BD1-8C71-38C49278032F}">
  <ds:schemaRefs>
    <ds:schemaRef ds:uri="http://schemas.microsoft.com/office/2006/metadata/properties"/>
    <ds:schemaRef ds:uri="http://schemas.microsoft.com/office/infopath/2007/PartnerControls"/>
    <ds:schemaRef ds:uri="85f9c881-3067-4172-bc3c-f65cf7fa794a"/>
    <ds:schemaRef ds:uri="a77b1b42-c3be-474a-a088-415c64196d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Moizle Ocariza</dc:creator>
  <cp:keywords/>
  <dc:description/>
  <cp:lastModifiedBy>Kaylah McBirney</cp:lastModifiedBy>
  <cp:revision>2</cp:revision>
  <dcterms:created xsi:type="dcterms:W3CDTF">2026-05-05T01:27:00Z</dcterms:created>
  <dcterms:modified xsi:type="dcterms:W3CDTF">2026-05-05T01:27:00Z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0x0101000EB118E20D0E9047B2A43936D90679F4</vt:lpwstr>
  </property>
  <property fmtid="{D5CDD505-2E9C-101B-9397-08002B2CF9AE}" pid="3" name="MediaServiceImageTags">
    <vt:lpwstr/>
  </property>
</Properties>
</file>