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5DC78F60" w:rsidR="001564A4" w:rsidRPr="0050053A" w:rsidRDefault="00C076B3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Topic coverage and working party representation of</w:t>
            </w:r>
            <w:r w:rsidR="00AD687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BA1F2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TSANZ</w:t>
            </w:r>
            <w:r w:rsidR="00B3605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AD687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documents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60AB1A95" w:rsidR="001564A4" w:rsidRPr="00413B94" w:rsidRDefault="00AD6870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William C.L Soon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E1585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Yvonne Ng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E1585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Daniel Seow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E1585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Arwel </w:t>
            </w:r>
            <w:r w:rsidR="00490B69">
              <w:rPr>
                <w:rFonts w:ascii="Arial" w:hAnsi="Arial" w:cs="Arial"/>
                <w:sz w:val="22"/>
                <w:szCs w:val="22"/>
                <w:lang w:val="en-US" w:eastAsia="en-GB"/>
              </w:rPr>
              <w:t>W. Jones</w:t>
            </w:r>
            <w:r w:rsidR="00031ED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E1585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Yet H. Khor</w:t>
            </w:r>
            <w:r w:rsidR="00AD197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1,4,5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8A516EF" w14:textId="77777777" w:rsidR="00A66D4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AD68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Austin Health, </w:t>
            </w:r>
            <w:r w:rsidR="00E268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Melbourne,</w:t>
            </w:r>
            <w:r w:rsidR="00AD68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V</w:t>
            </w:r>
            <w:r w:rsidR="00E268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IC</w:t>
            </w:r>
            <w:r w:rsidR="005134C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  <w:p w14:paraId="48C7FC43" w14:textId="53AB749D" w:rsidR="005134CF" w:rsidRPr="005134CF" w:rsidRDefault="005134CF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Monash Lung Sleep Allergy Immunology,</w:t>
            </w:r>
            <w:r w:rsidR="00C703F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Monash Health,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Clayton, VIC, Australia</w:t>
            </w:r>
          </w:p>
          <w:p w14:paraId="0CAC1D4E" w14:textId="44D7E914" w:rsidR="005134CF" w:rsidRPr="005134CF" w:rsidRDefault="005134CF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Internal Medicine, Sengkang General Hospital, Singapore</w:t>
            </w:r>
          </w:p>
          <w:p w14:paraId="3AAECB1C" w14:textId="77777777" w:rsidR="005134CF" w:rsidRDefault="005134CF" w:rsidP="005134CF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Research @Alfred, Monash University, VIC, Australia</w:t>
            </w:r>
          </w:p>
          <w:p w14:paraId="45ED36BF" w14:textId="7BADAAC8" w:rsidR="001564A4" w:rsidRPr="0050053A" w:rsidRDefault="005134CF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76716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Institute of Breathing and Sleep, VIC, Australia</w:t>
            </w:r>
          </w:p>
        </w:tc>
      </w:tr>
      <w:tr w:rsidR="001564A4" w:rsidRPr="0050053A" w14:paraId="6DAF615A" w14:textId="77777777" w:rsidTr="005134CF">
        <w:trPr>
          <w:trHeight w:hRule="exact" w:val="10361"/>
          <w:jc w:val="center"/>
        </w:trPr>
        <w:tc>
          <w:tcPr>
            <w:tcW w:w="8640" w:type="dxa"/>
            <w:shd w:val="clear" w:color="auto" w:fill="auto"/>
          </w:tcPr>
          <w:p w14:paraId="2251F6D5" w14:textId="560A3B02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E15855">
              <w:rPr>
                <w:sz w:val="22"/>
                <w:szCs w:val="22"/>
              </w:rPr>
              <w:t xml:space="preserve">The </w:t>
            </w:r>
            <w:r w:rsidR="00E124CF">
              <w:rPr>
                <w:sz w:val="22"/>
                <w:szCs w:val="22"/>
              </w:rPr>
              <w:t>T</w:t>
            </w:r>
            <w:r w:rsidR="00AD6870">
              <w:rPr>
                <w:sz w:val="22"/>
                <w:szCs w:val="22"/>
              </w:rPr>
              <w:t xml:space="preserve">horacic </w:t>
            </w:r>
            <w:r w:rsidR="00257B33">
              <w:rPr>
                <w:sz w:val="22"/>
                <w:szCs w:val="22"/>
              </w:rPr>
              <w:t>S</w:t>
            </w:r>
            <w:r w:rsidR="00AD6870">
              <w:rPr>
                <w:sz w:val="22"/>
                <w:szCs w:val="22"/>
              </w:rPr>
              <w:t xml:space="preserve">ociety of Australia and New Zealand (TSANZ) </w:t>
            </w:r>
            <w:r w:rsidR="00E15855">
              <w:rPr>
                <w:sz w:val="22"/>
                <w:szCs w:val="22"/>
              </w:rPr>
              <w:t xml:space="preserve">is the leading </w:t>
            </w:r>
            <w:r w:rsidR="00E15855" w:rsidRPr="00E15855">
              <w:rPr>
                <w:sz w:val="22"/>
                <w:szCs w:val="22"/>
              </w:rPr>
              <w:t xml:space="preserve">Australasian professional society for respiratory medicine </w:t>
            </w:r>
            <w:r w:rsidR="00E15855">
              <w:rPr>
                <w:sz w:val="22"/>
                <w:szCs w:val="22"/>
              </w:rPr>
              <w:t>that develops</w:t>
            </w:r>
            <w:r w:rsidR="00AD6870">
              <w:rPr>
                <w:sz w:val="22"/>
                <w:szCs w:val="22"/>
              </w:rPr>
              <w:t xml:space="preserve"> </w:t>
            </w:r>
            <w:r w:rsidR="008529E1">
              <w:rPr>
                <w:sz w:val="22"/>
                <w:szCs w:val="22"/>
              </w:rPr>
              <w:t>clinical practice guidelines</w:t>
            </w:r>
            <w:r w:rsidR="00E15855">
              <w:rPr>
                <w:sz w:val="22"/>
                <w:szCs w:val="22"/>
              </w:rPr>
              <w:t xml:space="preserve"> and position statement</w:t>
            </w:r>
            <w:r w:rsidR="00CC1095">
              <w:rPr>
                <w:sz w:val="22"/>
                <w:szCs w:val="22"/>
              </w:rPr>
              <w:t>s</w:t>
            </w:r>
            <w:r w:rsidR="00E15855">
              <w:rPr>
                <w:sz w:val="22"/>
                <w:szCs w:val="22"/>
              </w:rPr>
              <w:t xml:space="preserve"> to advance lung health through improved clinical care and research efforts. This study </w:t>
            </w:r>
            <w:r w:rsidR="00B36057">
              <w:rPr>
                <w:sz w:val="22"/>
                <w:szCs w:val="22"/>
              </w:rPr>
              <w:t xml:space="preserve">reviewed TSANZ guidance documents with a focus on the topic coverage and working party representativeness. </w:t>
            </w:r>
          </w:p>
          <w:p w14:paraId="70A39F78" w14:textId="77A6ECC7" w:rsidR="001564A4" w:rsidRPr="0050053A" w:rsidRDefault="001564A4">
            <w:pPr>
              <w:pStyle w:val="Pa12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B36057">
              <w:rPr>
                <w:sz w:val="22"/>
                <w:szCs w:val="22"/>
              </w:rPr>
              <w:t>P</w:t>
            </w:r>
            <w:r w:rsidR="00AD6870">
              <w:rPr>
                <w:sz w:val="22"/>
                <w:szCs w:val="22"/>
              </w:rPr>
              <w:t xml:space="preserve">ublished </w:t>
            </w:r>
            <w:r w:rsidR="00B36057">
              <w:rPr>
                <w:sz w:val="22"/>
                <w:szCs w:val="22"/>
              </w:rPr>
              <w:t>TSANZ guidance documents were identified from the Society online repository up to</w:t>
            </w:r>
            <w:r w:rsidR="000338BB">
              <w:rPr>
                <w:sz w:val="22"/>
                <w:szCs w:val="22"/>
              </w:rPr>
              <w:t xml:space="preserve"> March 2023</w:t>
            </w:r>
            <w:r w:rsidR="00B36057">
              <w:rPr>
                <w:sz w:val="22"/>
                <w:szCs w:val="22"/>
              </w:rPr>
              <w:t xml:space="preserve">. Each document was independently assessed by two reviewers (YN and DS), with discrepancy being resolved by a third reviewer (WS).   </w:t>
            </w:r>
            <w:r w:rsidR="00AD6870">
              <w:rPr>
                <w:sz w:val="22"/>
                <w:szCs w:val="22"/>
              </w:rPr>
              <w:t xml:space="preserve"> </w:t>
            </w:r>
            <w:r w:rsidR="00B36057">
              <w:rPr>
                <w:sz w:val="22"/>
                <w:szCs w:val="22"/>
              </w:rPr>
              <w:t>Data extracted includ</w:t>
            </w:r>
            <w:r w:rsidR="00257B33">
              <w:rPr>
                <w:sz w:val="22"/>
                <w:szCs w:val="22"/>
              </w:rPr>
              <w:t>ed</w:t>
            </w:r>
            <w:r w:rsidR="00B36057">
              <w:rPr>
                <w:sz w:val="22"/>
                <w:szCs w:val="22"/>
              </w:rPr>
              <w:t xml:space="preserve"> document publication year, </w:t>
            </w:r>
            <w:r w:rsidR="00CC1095">
              <w:rPr>
                <w:sz w:val="22"/>
                <w:szCs w:val="22"/>
              </w:rPr>
              <w:t xml:space="preserve">document types, </w:t>
            </w:r>
            <w:r w:rsidR="00B36057">
              <w:rPr>
                <w:sz w:val="22"/>
                <w:szCs w:val="22"/>
              </w:rPr>
              <w:t xml:space="preserve">topic category, and working party memberships (representing </w:t>
            </w:r>
            <w:r w:rsidR="00427F44">
              <w:rPr>
                <w:sz w:val="22"/>
                <w:szCs w:val="22"/>
              </w:rPr>
              <w:t>state</w:t>
            </w:r>
            <w:r w:rsidR="00B36057">
              <w:rPr>
                <w:sz w:val="22"/>
                <w:szCs w:val="22"/>
              </w:rPr>
              <w:t xml:space="preserve">, territory, or country; </w:t>
            </w:r>
            <w:r w:rsidR="00427F44">
              <w:rPr>
                <w:sz w:val="22"/>
                <w:szCs w:val="22"/>
              </w:rPr>
              <w:t>methodologist</w:t>
            </w:r>
            <w:r w:rsidR="00B36057">
              <w:rPr>
                <w:sz w:val="22"/>
                <w:szCs w:val="22"/>
              </w:rPr>
              <w:t xml:space="preserve"> involvement)</w:t>
            </w:r>
            <w:r w:rsidR="00427F44">
              <w:rPr>
                <w:sz w:val="22"/>
                <w:szCs w:val="22"/>
              </w:rPr>
              <w:t xml:space="preserve">. </w:t>
            </w:r>
          </w:p>
          <w:p w14:paraId="18F77515" w14:textId="2F83A75E" w:rsidR="001564A4" w:rsidRDefault="00612D01" w:rsidP="000A28E2">
            <w:pPr>
              <w:pStyle w:val="Pa12"/>
              <w:rPr>
                <w:sz w:val="22"/>
                <w:szCs w:val="22"/>
              </w:rPr>
            </w:pPr>
            <w:r w:rsidRPr="00612D01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5E50854" wp14:editId="065F39E3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2122805</wp:posOffset>
                  </wp:positionV>
                  <wp:extent cx="5448300" cy="1885950"/>
                  <wp:effectExtent l="0" t="0" r="0" b="0"/>
                  <wp:wrapTight wrapText="bothSides">
                    <wp:wrapPolygon edited="0">
                      <wp:start x="0" y="0"/>
                      <wp:lineTo x="0" y="21164"/>
                      <wp:lineTo x="21524" y="21164"/>
                      <wp:lineTo x="21524" y="0"/>
                      <wp:lineTo x="0" y="0"/>
                    </wp:wrapPolygon>
                  </wp:wrapTight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EE1A34-D052-41F2-ADA6-91565E0B601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6FEE1A34-D052-41F2-ADA6-91565E0B60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64A4" w:rsidRPr="0050053A">
              <w:rPr>
                <w:rStyle w:val="A4"/>
                <w:b/>
                <w:bCs/>
              </w:rPr>
              <w:t xml:space="preserve">Results: </w:t>
            </w:r>
            <w:r w:rsidR="000338BB">
              <w:rPr>
                <w:sz w:val="22"/>
                <w:szCs w:val="22"/>
              </w:rPr>
              <w:t xml:space="preserve">A total of 35 </w:t>
            </w:r>
            <w:r w:rsidR="00AC6130">
              <w:rPr>
                <w:sz w:val="22"/>
                <w:szCs w:val="22"/>
              </w:rPr>
              <w:t xml:space="preserve">TSANZ </w:t>
            </w:r>
            <w:r w:rsidR="006E652C">
              <w:rPr>
                <w:sz w:val="22"/>
                <w:szCs w:val="22"/>
              </w:rPr>
              <w:t xml:space="preserve">guidance documents </w:t>
            </w:r>
            <w:r w:rsidR="00B36057">
              <w:rPr>
                <w:sz w:val="22"/>
                <w:szCs w:val="22"/>
              </w:rPr>
              <w:t>were published between 2002 and 2023</w:t>
            </w:r>
            <w:r w:rsidR="00CC1095">
              <w:rPr>
                <w:sz w:val="22"/>
                <w:szCs w:val="22"/>
              </w:rPr>
              <w:t>. A</w:t>
            </w:r>
            <w:r w:rsidR="00AC6130">
              <w:rPr>
                <w:sz w:val="22"/>
                <w:szCs w:val="22"/>
              </w:rPr>
              <w:t>n</w:t>
            </w:r>
            <w:r w:rsidR="006E652C">
              <w:rPr>
                <w:sz w:val="22"/>
                <w:szCs w:val="22"/>
              </w:rPr>
              <w:t xml:space="preserve"> </w:t>
            </w:r>
            <w:r w:rsidR="00B36057">
              <w:rPr>
                <w:sz w:val="22"/>
                <w:szCs w:val="22"/>
              </w:rPr>
              <w:t xml:space="preserve">increasing trend </w:t>
            </w:r>
            <w:r w:rsidR="00257B33">
              <w:rPr>
                <w:sz w:val="22"/>
                <w:szCs w:val="22"/>
              </w:rPr>
              <w:t>in</w:t>
            </w:r>
            <w:r w:rsidR="00B36057">
              <w:rPr>
                <w:sz w:val="22"/>
                <w:szCs w:val="22"/>
              </w:rPr>
              <w:t xml:space="preserve"> </w:t>
            </w:r>
            <w:r w:rsidR="006E652C">
              <w:rPr>
                <w:sz w:val="22"/>
                <w:szCs w:val="22"/>
              </w:rPr>
              <w:t>the number of documents published over the last two decades</w:t>
            </w:r>
            <w:r w:rsidR="00CC1095">
              <w:rPr>
                <w:sz w:val="22"/>
                <w:szCs w:val="22"/>
              </w:rPr>
              <w:t xml:space="preserve"> was noted</w:t>
            </w:r>
            <w:r w:rsidR="006E652C">
              <w:rPr>
                <w:sz w:val="22"/>
                <w:szCs w:val="22"/>
              </w:rPr>
              <w:t>, with the highest number of 13 documents in the last 3 years (</w:t>
            </w:r>
            <w:r w:rsidR="006E652C" w:rsidRPr="0076716E">
              <w:rPr>
                <w:b/>
                <w:sz w:val="22"/>
                <w:szCs w:val="22"/>
              </w:rPr>
              <w:t xml:space="preserve">Figure </w:t>
            </w:r>
            <w:r w:rsidR="00490B69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A</w:t>
            </w:r>
            <w:r w:rsidR="006E652C">
              <w:rPr>
                <w:sz w:val="22"/>
                <w:szCs w:val="22"/>
              </w:rPr>
              <w:t xml:space="preserve">). </w:t>
            </w:r>
            <w:r w:rsidR="00CC1095">
              <w:rPr>
                <w:sz w:val="22"/>
                <w:szCs w:val="22"/>
              </w:rPr>
              <w:t xml:space="preserve">There were 25 position statements, </w:t>
            </w:r>
            <w:r w:rsidR="00490B69">
              <w:rPr>
                <w:sz w:val="22"/>
                <w:szCs w:val="22"/>
              </w:rPr>
              <w:t xml:space="preserve">7 </w:t>
            </w:r>
            <w:r w:rsidR="00CC1095">
              <w:rPr>
                <w:sz w:val="22"/>
                <w:szCs w:val="22"/>
              </w:rPr>
              <w:t xml:space="preserve">clinical practice guidelines, </w:t>
            </w:r>
            <w:r w:rsidR="00490B69">
              <w:rPr>
                <w:sz w:val="22"/>
                <w:szCs w:val="22"/>
              </w:rPr>
              <w:t xml:space="preserve">2 </w:t>
            </w:r>
            <w:r w:rsidR="00CC1095">
              <w:rPr>
                <w:sz w:val="22"/>
                <w:szCs w:val="22"/>
              </w:rPr>
              <w:t xml:space="preserve">short reports, and </w:t>
            </w:r>
            <w:r w:rsidR="00490B69">
              <w:rPr>
                <w:sz w:val="22"/>
                <w:szCs w:val="22"/>
              </w:rPr>
              <w:t xml:space="preserve">1 </w:t>
            </w:r>
            <w:r w:rsidR="00CC1095">
              <w:rPr>
                <w:sz w:val="22"/>
                <w:szCs w:val="22"/>
              </w:rPr>
              <w:t xml:space="preserve">training guideline. </w:t>
            </w:r>
            <w:r w:rsidR="006E652C">
              <w:rPr>
                <w:sz w:val="22"/>
                <w:szCs w:val="22"/>
              </w:rPr>
              <w:t xml:space="preserve">The published guidance documents covered </w:t>
            </w:r>
            <w:r w:rsidR="00A76002">
              <w:rPr>
                <w:sz w:val="22"/>
                <w:szCs w:val="22"/>
              </w:rPr>
              <w:t xml:space="preserve">14 different </w:t>
            </w:r>
            <w:r w:rsidR="006E652C">
              <w:rPr>
                <w:sz w:val="22"/>
                <w:szCs w:val="22"/>
              </w:rPr>
              <w:t xml:space="preserve">topic </w:t>
            </w:r>
            <w:r w:rsidR="00A76002">
              <w:rPr>
                <w:sz w:val="22"/>
                <w:szCs w:val="22"/>
              </w:rPr>
              <w:t>categories</w:t>
            </w:r>
            <w:r w:rsidR="00CC1095">
              <w:rPr>
                <w:sz w:val="22"/>
                <w:szCs w:val="22"/>
              </w:rPr>
              <w:t>, with</w:t>
            </w:r>
            <w:r w:rsidR="00D848D2">
              <w:rPr>
                <w:sz w:val="22"/>
                <w:szCs w:val="22"/>
              </w:rPr>
              <w:t xml:space="preserve"> the most featured</w:t>
            </w:r>
            <w:r w:rsidR="00CC1095">
              <w:rPr>
                <w:sz w:val="22"/>
                <w:szCs w:val="22"/>
              </w:rPr>
              <w:t xml:space="preserve"> ones being</w:t>
            </w:r>
            <w:r w:rsidR="00A76002">
              <w:rPr>
                <w:sz w:val="22"/>
                <w:szCs w:val="22"/>
              </w:rPr>
              <w:t xml:space="preserve"> asthma</w:t>
            </w:r>
            <w:r w:rsidR="00CC1095">
              <w:rPr>
                <w:sz w:val="22"/>
                <w:szCs w:val="22"/>
              </w:rPr>
              <w:t xml:space="preserve"> (n=5)</w:t>
            </w:r>
            <w:r w:rsidR="00A76002">
              <w:rPr>
                <w:sz w:val="22"/>
                <w:szCs w:val="22"/>
              </w:rPr>
              <w:t xml:space="preserve"> and oxygen</w:t>
            </w:r>
            <w:r w:rsidR="00CC1095">
              <w:rPr>
                <w:sz w:val="22"/>
                <w:szCs w:val="22"/>
              </w:rPr>
              <w:t xml:space="preserve"> (n=5)</w:t>
            </w:r>
            <w:r w:rsidR="00AC6130">
              <w:rPr>
                <w:sz w:val="22"/>
                <w:szCs w:val="22"/>
              </w:rPr>
              <w:t xml:space="preserve"> (</w:t>
            </w:r>
            <w:r w:rsidR="00AC6130" w:rsidRPr="0076716E">
              <w:rPr>
                <w:b/>
                <w:sz w:val="22"/>
                <w:szCs w:val="22"/>
              </w:rPr>
              <w:t xml:space="preserve">Figure </w:t>
            </w:r>
            <w:r w:rsidR="00490B69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B</w:t>
            </w:r>
            <w:r w:rsidR="00AC6130">
              <w:rPr>
                <w:sz w:val="22"/>
                <w:szCs w:val="22"/>
              </w:rPr>
              <w:t>).</w:t>
            </w:r>
            <w:r w:rsidR="00257B33">
              <w:rPr>
                <w:sz w:val="22"/>
                <w:szCs w:val="22"/>
              </w:rPr>
              <w:t xml:space="preserve"> </w:t>
            </w:r>
            <w:r w:rsidR="00AC6130">
              <w:rPr>
                <w:sz w:val="22"/>
                <w:szCs w:val="22"/>
              </w:rPr>
              <w:t>T</w:t>
            </w:r>
            <w:r w:rsidR="00CC1095">
              <w:rPr>
                <w:sz w:val="22"/>
                <w:szCs w:val="22"/>
              </w:rPr>
              <w:t xml:space="preserve">he working party memberships </w:t>
            </w:r>
            <w:r w:rsidR="00AC6130">
              <w:rPr>
                <w:sz w:val="22"/>
                <w:szCs w:val="22"/>
              </w:rPr>
              <w:t xml:space="preserve">were geographically most represented from Victoria (97%), </w:t>
            </w:r>
            <w:r w:rsidR="00D848D2">
              <w:rPr>
                <w:sz w:val="22"/>
                <w:szCs w:val="22"/>
              </w:rPr>
              <w:t xml:space="preserve">followed by </w:t>
            </w:r>
            <w:r w:rsidR="00AC6130">
              <w:rPr>
                <w:sz w:val="22"/>
                <w:szCs w:val="22"/>
              </w:rPr>
              <w:t xml:space="preserve">New South Wales </w:t>
            </w:r>
            <w:r w:rsidR="00A76002">
              <w:rPr>
                <w:sz w:val="22"/>
                <w:szCs w:val="22"/>
              </w:rPr>
              <w:t>(9</w:t>
            </w:r>
            <w:r w:rsidR="00AC6130">
              <w:rPr>
                <w:sz w:val="22"/>
                <w:szCs w:val="22"/>
              </w:rPr>
              <w:t>1</w:t>
            </w:r>
            <w:r w:rsidR="00A76002">
              <w:rPr>
                <w:sz w:val="22"/>
                <w:szCs w:val="22"/>
              </w:rPr>
              <w:t xml:space="preserve">%), </w:t>
            </w:r>
            <w:r w:rsidR="00AC6130">
              <w:rPr>
                <w:sz w:val="22"/>
                <w:szCs w:val="22"/>
              </w:rPr>
              <w:t>Queensland</w:t>
            </w:r>
            <w:r w:rsidR="00A76002">
              <w:rPr>
                <w:sz w:val="22"/>
                <w:szCs w:val="22"/>
              </w:rPr>
              <w:t xml:space="preserve"> (75%), W</w:t>
            </w:r>
            <w:r w:rsidR="00AC6130">
              <w:rPr>
                <w:sz w:val="22"/>
                <w:szCs w:val="22"/>
              </w:rPr>
              <w:t>estern Australia</w:t>
            </w:r>
            <w:r w:rsidR="00A76002">
              <w:rPr>
                <w:sz w:val="22"/>
                <w:szCs w:val="22"/>
              </w:rPr>
              <w:t xml:space="preserve"> (66%), New Zealand (62.5%), </w:t>
            </w:r>
            <w:r w:rsidR="00AC6130">
              <w:rPr>
                <w:sz w:val="22"/>
                <w:szCs w:val="22"/>
              </w:rPr>
              <w:t xml:space="preserve">and </w:t>
            </w:r>
            <w:r w:rsidR="00A76002">
              <w:rPr>
                <w:sz w:val="22"/>
                <w:szCs w:val="22"/>
              </w:rPr>
              <w:t>S</w:t>
            </w:r>
            <w:r w:rsidR="00AC6130">
              <w:rPr>
                <w:sz w:val="22"/>
                <w:szCs w:val="22"/>
              </w:rPr>
              <w:t>outh Australia</w:t>
            </w:r>
            <w:r w:rsidR="00A76002">
              <w:rPr>
                <w:sz w:val="22"/>
                <w:szCs w:val="22"/>
              </w:rPr>
              <w:t xml:space="preserve"> (56%), </w:t>
            </w:r>
            <w:r w:rsidR="00AC6130">
              <w:rPr>
                <w:sz w:val="22"/>
                <w:szCs w:val="22"/>
              </w:rPr>
              <w:t>with Tasmania (</w:t>
            </w:r>
            <w:r w:rsidR="006E1C54">
              <w:rPr>
                <w:sz w:val="22"/>
                <w:szCs w:val="22"/>
              </w:rPr>
              <w:t xml:space="preserve">25%), </w:t>
            </w:r>
            <w:r w:rsidR="00AC6130">
              <w:rPr>
                <w:sz w:val="22"/>
                <w:szCs w:val="22"/>
              </w:rPr>
              <w:t xml:space="preserve">Northern Territory </w:t>
            </w:r>
            <w:r w:rsidR="006E1C54">
              <w:rPr>
                <w:sz w:val="22"/>
                <w:szCs w:val="22"/>
              </w:rPr>
              <w:t>(12.5%)</w:t>
            </w:r>
            <w:r w:rsidR="00AC6130">
              <w:rPr>
                <w:sz w:val="22"/>
                <w:szCs w:val="22"/>
              </w:rPr>
              <w:t>, and Australian Capital Territory</w:t>
            </w:r>
            <w:r w:rsidR="006E1C54">
              <w:rPr>
                <w:sz w:val="22"/>
                <w:szCs w:val="22"/>
              </w:rPr>
              <w:t xml:space="preserve"> (9%)</w:t>
            </w:r>
            <w:r w:rsidR="00AC6130">
              <w:rPr>
                <w:sz w:val="22"/>
                <w:szCs w:val="22"/>
              </w:rPr>
              <w:t xml:space="preserve"> being under-represented.</w:t>
            </w:r>
            <w:r w:rsidR="006E1C54">
              <w:rPr>
                <w:sz w:val="22"/>
                <w:szCs w:val="22"/>
              </w:rPr>
              <w:t xml:space="preserve"> </w:t>
            </w:r>
            <w:r w:rsidR="00AC6130">
              <w:rPr>
                <w:sz w:val="22"/>
                <w:szCs w:val="22"/>
              </w:rPr>
              <w:t>Two</w:t>
            </w:r>
            <w:r w:rsidR="006E1C54">
              <w:rPr>
                <w:sz w:val="22"/>
                <w:szCs w:val="22"/>
              </w:rPr>
              <w:t xml:space="preserve"> documents featured an international affiliation.</w:t>
            </w:r>
            <w:r w:rsidR="00792E89">
              <w:rPr>
                <w:sz w:val="22"/>
                <w:szCs w:val="22"/>
              </w:rPr>
              <w:t xml:space="preserve"> </w:t>
            </w:r>
            <w:r w:rsidR="00AC6130">
              <w:rPr>
                <w:sz w:val="22"/>
                <w:szCs w:val="22"/>
              </w:rPr>
              <w:t xml:space="preserve">Only </w:t>
            </w:r>
            <w:r w:rsidR="00490B69">
              <w:rPr>
                <w:sz w:val="22"/>
                <w:szCs w:val="22"/>
              </w:rPr>
              <w:t xml:space="preserve">5 </w:t>
            </w:r>
            <w:r w:rsidR="00AC6130">
              <w:rPr>
                <w:sz w:val="22"/>
                <w:szCs w:val="22"/>
              </w:rPr>
              <w:t xml:space="preserve">TSANZ guidance documents </w:t>
            </w:r>
            <w:r w:rsidR="00792E89">
              <w:rPr>
                <w:sz w:val="22"/>
                <w:szCs w:val="22"/>
              </w:rPr>
              <w:t>listed</w:t>
            </w:r>
            <w:r w:rsidR="006E1C54">
              <w:rPr>
                <w:sz w:val="22"/>
                <w:szCs w:val="22"/>
              </w:rPr>
              <w:t xml:space="preserve"> </w:t>
            </w:r>
            <w:r w:rsidR="00257B33">
              <w:rPr>
                <w:sz w:val="22"/>
                <w:szCs w:val="22"/>
              </w:rPr>
              <w:t xml:space="preserve">the </w:t>
            </w:r>
            <w:r w:rsidR="006E1C54">
              <w:rPr>
                <w:sz w:val="22"/>
                <w:szCs w:val="22"/>
              </w:rPr>
              <w:t xml:space="preserve">involvement </w:t>
            </w:r>
            <w:r w:rsidR="00257B33">
              <w:rPr>
                <w:sz w:val="22"/>
                <w:szCs w:val="22"/>
              </w:rPr>
              <w:t xml:space="preserve">of </w:t>
            </w:r>
            <w:r w:rsidR="006E1C54">
              <w:rPr>
                <w:sz w:val="22"/>
                <w:szCs w:val="22"/>
              </w:rPr>
              <w:t xml:space="preserve">a trained methodologist in their </w:t>
            </w:r>
            <w:r w:rsidR="00AC6130">
              <w:rPr>
                <w:sz w:val="22"/>
                <w:szCs w:val="22"/>
              </w:rPr>
              <w:t>development</w:t>
            </w:r>
            <w:r w:rsidR="006E1C54">
              <w:rPr>
                <w:sz w:val="22"/>
                <w:szCs w:val="22"/>
              </w:rPr>
              <w:t>.</w:t>
            </w:r>
          </w:p>
          <w:p w14:paraId="3E8B4283" w14:textId="351EF22C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AC6130" w:rsidRPr="0076716E">
              <w:rPr>
                <w:rStyle w:val="A4"/>
                <w:bCs/>
              </w:rPr>
              <w:t>While</w:t>
            </w:r>
            <w:r w:rsidR="00AC6130">
              <w:rPr>
                <w:rStyle w:val="A4"/>
                <w:bCs/>
              </w:rPr>
              <w:t xml:space="preserve"> </w:t>
            </w:r>
            <w:r w:rsidR="00AC6130">
              <w:rPr>
                <w:sz w:val="22"/>
                <w:szCs w:val="22"/>
              </w:rPr>
              <w:t>t</w:t>
            </w:r>
            <w:r w:rsidR="00317322">
              <w:rPr>
                <w:sz w:val="22"/>
                <w:szCs w:val="22"/>
              </w:rPr>
              <w:t>here</w:t>
            </w:r>
            <w:r w:rsidR="00D848D2">
              <w:rPr>
                <w:sz w:val="22"/>
                <w:szCs w:val="22"/>
              </w:rPr>
              <w:t xml:space="preserve"> has been a steady increase in </w:t>
            </w:r>
            <w:r w:rsidR="00257B33">
              <w:rPr>
                <w:sz w:val="22"/>
                <w:szCs w:val="22"/>
              </w:rPr>
              <w:t xml:space="preserve">the </w:t>
            </w:r>
            <w:r w:rsidR="00D848D2">
              <w:rPr>
                <w:sz w:val="22"/>
                <w:szCs w:val="22"/>
              </w:rPr>
              <w:t xml:space="preserve">number of </w:t>
            </w:r>
            <w:r w:rsidR="008151E4">
              <w:rPr>
                <w:sz w:val="22"/>
                <w:szCs w:val="22"/>
              </w:rPr>
              <w:t xml:space="preserve">TSANZ </w:t>
            </w:r>
            <w:r w:rsidR="00D848D2">
              <w:rPr>
                <w:sz w:val="22"/>
                <w:szCs w:val="22"/>
              </w:rPr>
              <w:t>publications</w:t>
            </w:r>
            <w:r w:rsidR="00317322">
              <w:rPr>
                <w:sz w:val="22"/>
                <w:szCs w:val="22"/>
              </w:rPr>
              <w:t xml:space="preserve"> </w:t>
            </w:r>
            <w:r w:rsidR="00257B33">
              <w:rPr>
                <w:sz w:val="22"/>
                <w:szCs w:val="22"/>
              </w:rPr>
              <w:t xml:space="preserve">over </w:t>
            </w:r>
            <w:r w:rsidR="00317322">
              <w:rPr>
                <w:sz w:val="22"/>
                <w:szCs w:val="22"/>
              </w:rPr>
              <w:t>the years</w:t>
            </w:r>
            <w:r w:rsidR="00D848D2">
              <w:rPr>
                <w:sz w:val="22"/>
                <w:szCs w:val="22"/>
              </w:rPr>
              <w:t xml:space="preserve">, there remain </w:t>
            </w:r>
            <w:r w:rsidR="00C973BD">
              <w:rPr>
                <w:sz w:val="22"/>
                <w:szCs w:val="22"/>
              </w:rPr>
              <w:t>several topics without</w:t>
            </w:r>
            <w:r w:rsidR="00AD1972">
              <w:rPr>
                <w:sz w:val="22"/>
                <w:szCs w:val="22"/>
              </w:rPr>
              <w:t xml:space="preserve"> society</w:t>
            </w:r>
            <w:r w:rsidR="00C973BD">
              <w:rPr>
                <w:sz w:val="22"/>
                <w:szCs w:val="22"/>
              </w:rPr>
              <w:t xml:space="preserve"> guid</w:t>
            </w:r>
            <w:r w:rsidR="005134CF">
              <w:rPr>
                <w:sz w:val="22"/>
                <w:szCs w:val="22"/>
              </w:rPr>
              <w:t>ance documents</w:t>
            </w:r>
            <w:r w:rsidR="00490B69">
              <w:rPr>
                <w:sz w:val="22"/>
                <w:szCs w:val="22"/>
              </w:rPr>
              <w:t xml:space="preserve">, </w:t>
            </w:r>
            <w:r w:rsidR="00AD1972">
              <w:rPr>
                <w:sz w:val="22"/>
                <w:szCs w:val="22"/>
              </w:rPr>
              <w:t xml:space="preserve">as well as </w:t>
            </w:r>
            <w:r w:rsidR="00490B69">
              <w:rPr>
                <w:sz w:val="22"/>
                <w:szCs w:val="22"/>
              </w:rPr>
              <w:t xml:space="preserve">a lack of involvement of methodological expertise </w:t>
            </w:r>
            <w:r w:rsidR="00C973BD">
              <w:rPr>
                <w:sz w:val="22"/>
                <w:szCs w:val="22"/>
              </w:rPr>
              <w:t xml:space="preserve">and </w:t>
            </w:r>
            <w:r w:rsidR="00D848D2">
              <w:rPr>
                <w:sz w:val="22"/>
                <w:szCs w:val="22"/>
              </w:rPr>
              <w:t>unequal representation across states</w:t>
            </w:r>
            <w:r w:rsidR="00AC6130">
              <w:rPr>
                <w:sz w:val="22"/>
                <w:szCs w:val="22"/>
              </w:rPr>
              <w:t>, territories,</w:t>
            </w:r>
            <w:r w:rsidR="00D848D2">
              <w:rPr>
                <w:sz w:val="22"/>
                <w:szCs w:val="22"/>
              </w:rPr>
              <w:t xml:space="preserve"> and countries.</w:t>
            </w:r>
            <w:r>
              <w:rPr>
                <w:sz w:val="22"/>
                <w:szCs w:val="22"/>
              </w:rPr>
              <w:br/>
            </w: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6E652C" w:rsidRPr="00795E96">
              <w:rPr>
                <w:rStyle w:val="A4"/>
                <w:bCs/>
              </w:rPr>
              <w:t>Nil</w:t>
            </w:r>
          </w:p>
          <w:p w14:paraId="7F8381F0" w14:textId="7FE8A2EA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31ED3"/>
    <w:rsid w:val="000338BB"/>
    <w:rsid w:val="0008621D"/>
    <w:rsid w:val="001564A4"/>
    <w:rsid w:val="001B0DB7"/>
    <w:rsid w:val="0024053E"/>
    <w:rsid w:val="00257B33"/>
    <w:rsid w:val="003041B7"/>
    <w:rsid w:val="00317322"/>
    <w:rsid w:val="003C6FBB"/>
    <w:rsid w:val="00427F44"/>
    <w:rsid w:val="004626A7"/>
    <w:rsid w:val="00490B69"/>
    <w:rsid w:val="005134CF"/>
    <w:rsid w:val="0051574E"/>
    <w:rsid w:val="00544FA8"/>
    <w:rsid w:val="005C4D46"/>
    <w:rsid w:val="00612D01"/>
    <w:rsid w:val="006C3085"/>
    <w:rsid w:val="006E1C54"/>
    <w:rsid w:val="006E652C"/>
    <w:rsid w:val="0076716E"/>
    <w:rsid w:val="00792E89"/>
    <w:rsid w:val="00795E96"/>
    <w:rsid w:val="008151E4"/>
    <w:rsid w:val="008529E1"/>
    <w:rsid w:val="008803FA"/>
    <w:rsid w:val="0097631F"/>
    <w:rsid w:val="00A66D4A"/>
    <w:rsid w:val="00A76002"/>
    <w:rsid w:val="00AC6130"/>
    <w:rsid w:val="00AD1972"/>
    <w:rsid w:val="00AD6870"/>
    <w:rsid w:val="00B12E32"/>
    <w:rsid w:val="00B36057"/>
    <w:rsid w:val="00BA1F23"/>
    <w:rsid w:val="00C076B3"/>
    <w:rsid w:val="00C55687"/>
    <w:rsid w:val="00C703F4"/>
    <w:rsid w:val="00C973BD"/>
    <w:rsid w:val="00CB02CC"/>
    <w:rsid w:val="00CC1095"/>
    <w:rsid w:val="00D848D2"/>
    <w:rsid w:val="00E0700F"/>
    <w:rsid w:val="00E124CF"/>
    <w:rsid w:val="00E15855"/>
    <w:rsid w:val="00E26870"/>
    <w:rsid w:val="00F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15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855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855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55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76716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SOON, William</cp:lastModifiedBy>
  <cp:revision>5</cp:revision>
  <dcterms:created xsi:type="dcterms:W3CDTF">2023-10-18T03:53:00Z</dcterms:created>
  <dcterms:modified xsi:type="dcterms:W3CDTF">2023-10-18T03:54:00Z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