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AE09A1A" w:rsidR="001564A4" w:rsidRPr="0049327E" w:rsidRDefault="00FF24E5" w:rsidP="00FF24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32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Mannitol provocation enhances </w:t>
            </w:r>
            <w:proofErr w:type="spellStart"/>
            <w:r w:rsidRPr="004932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laryngoscopic</w:t>
            </w:r>
            <w:proofErr w:type="spellEnd"/>
            <w:r w:rsidRPr="004932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diagnosis of suspected inducible laryngeal obstruction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07019BFE" w14:textId="77777777" w:rsidR="001564A4" w:rsidRDefault="00FF24E5" w:rsidP="004670AC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Stephanie Stojanovic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, Asger Sverrild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1,2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Tunn</w:t>
            </w:r>
            <w:proofErr w:type="spellEnd"/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 xml:space="preserve"> Ren Tay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, Eve Denton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1,4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 xml:space="preserve"> Kavitha </w:t>
            </w:r>
            <w:proofErr w:type="spellStart"/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Garuna</w:t>
            </w:r>
            <w:proofErr w:type="spellEnd"/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 xml:space="preserve"> Murthee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5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, Tiffany Lin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, Brigitte Borg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4,6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, Janine Mahoney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7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, Joy Lee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1,4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</w:rPr>
              <w:t>, Mark Hew</w:t>
            </w:r>
            <w:r w:rsidRPr="0057471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1,4</w:t>
            </w:r>
          </w:p>
          <w:p w14:paraId="73B55295" w14:textId="4A6104CA" w:rsidR="00A030F0" w:rsidRPr="00574713" w:rsidRDefault="00A030F0" w:rsidP="004670AC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859054D" w14:textId="77777777" w:rsidR="00FF24E5" w:rsidRPr="00574713" w:rsidRDefault="00FF24E5" w:rsidP="004670AC">
            <w:pPr>
              <w:pStyle w:val="Body"/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OLE_LINK1"/>
            <w:r w:rsidRPr="00574713">
              <w:rPr>
                <w:rFonts w:ascii="Arial" w:hAnsi="Arial" w:cs="Arial"/>
                <w:vertAlign w:val="superscript"/>
              </w:rPr>
              <w:t>1</w:t>
            </w:r>
            <w:r w:rsidRPr="00574713">
              <w:rPr>
                <w:rFonts w:ascii="Arial" w:hAnsi="Arial" w:cs="Arial"/>
              </w:rPr>
              <w:t>Allergy, Asthma and Clinical Immunology, The Alfred Hospital, Melbourne 3004, VIC Australia</w:t>
            </w:r>
          </w:p>
          <w:bookmarkEnd w:id="0"/>
          <w:p w14:paraId="4A2D37CF" w14:textId="77777777" w:rsidR="00FF24E5" w:rsidRPr="00574713" w:rsidRDefault="00FF24E5" w:rsidP="004670AC">
            <w:pPr>
              <w:rPr>
                <w:sz w:val="22"/>
                <w:szCs w:val="22"/>
              </w:rPr>
            </w:pPr>
            <w:r w:rsidRPr="0057471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747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471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Dept of Respiratory Medicine, University Hospital </w:t>
            </w:r>
            <w:proofErr w:type="spellStart"/>
            <w:r w:rsidRPr="0057471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Bispebjerg</w:t>
            </w:r>
            <w:proofErr w:type="spellEnd"/>
            <w:r w:rsidRPr="0057471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, Copenhagen, Denmark</w:t>
            </w:r>
            <w:r w:rsidRPr="00574713"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3C2DC10" w14:textId="77777777" w:rsidR="00FF24E5" w:rsidRPr="00574713" w:rsidRDefault="00FF24E5" w:rsidP="004670AC">
            <w:pPr>
              <w:pStyle w:val="NoSpacing"/>
              <w:jc w:val="both"/>
              <w:rPr>
                <w:rFonts w:ascii="Arial" w:hAnsi="Arial" w:cs="Arial"/>
                <w:vertAlign w:val="superscript"/>
              </w:rPr>
            </w:pPr>
            <w:r w:rsidRPr="00574713">
              <w:rPr>
                <w:rFonts w:ascii="Arial" w:hAnsi="Arial" w:cs="Arial"/>
                <w:vertAlign w:val="superscript"/>
              </w:rPr>
              <w:t xml:space="preserve">3 </w:t>
            </w:r>
            <w:r w:rsidRPr="00574713">
              <w:rPr>
                <w:rFonts w:ascii="Arial" w:hAnsi="Arial" w:cs="Arial"/>
              </w:rPr>
              <w:t>Department of Respiratory and Critical Care Medicine, Changi General Hospital, Singapore</w:t>
            </w:r>
          </w:p>
          <w:p w14:paraId="25811FD1" w14:textId="77777777" w:rsidR="00FF24E5" w:rsidRPr="00574713" w:rsidRDefault="00FF24E5" w:rsidP="004670AC">
            <w:pPr>
              <w:pStyle w:val="NoSpacing"/>
              <w:jc w:val="both"/>
              <w:rPr>
                <w:rFonts w:ascii="Arial" w:hAnsi="Arial" w:cs="Arial"/>
                <w:vertAlign w:val="superscript"/>
              </w:rPr>
            </w:pPr>
            <w:r w:rsidRPr="00574713">
              <w:rPr>
                <w:rFonts w:ascii="Arial" w:hAnsi="Arial" w:cs="Arial"/>
                <w:vertAlign w:val="superscript"/>
              </w:rPr>
              <w:t xml:space="preserve">4 </w:t>
            </w:r>
            <w:r w:rsidRPr="00574713">
              <w:rPr>
                <w:rFonts w:ascii="Arial" w:hAnsi="Arial" w:cs="Arial"/>
              </w:rPr>
              <w:t>School of Public Health &amp; Preventive Medicine, Monash University, Melbourne 3004, VIC, Australia</w:t>
            </w:r>
          </w:p>
          <w:p w14:paraId="65AE4BC5" w14:textId="77777777" w:rsidR="00FF24E5" w:rsidRPr="00574713" w:rsidRDefault="00FF24E5" w:rsidP="004670AC">
            <w:pPr>
              <w:pStyle w:val="NoSpacing"/>
              <w:jc w:val="both"/>
              <w:rPr>
                <w:rFonts w:ascii="Arial" w:hAnsi="Arial" w:cs="Arial"/>
              </w:rPr>
            </w:pPr>
            <w:r w:rsidRPr="00574713">
              <w:rPr>
                <w:rFonts w:ascii="Arial" w:hAnsi="Arial" w:cs="Arial"/>
                <w:vertAlign w:val="superscript"/>
              </w:rPr>
              <w:t xml:space="preserve">5 </w:t>
            </w:r>
            <w:r w:rsidRPr="00574713">
              <w:rPr>
                <w:rFonts w:ascii="Arial" w:hAnsi="Arial" w:cs="Arial"/>
              </w:rPr>
              <w:t>Department of Internal Medicine, Singapore General Hospital, Singapore</w:t>
            </w:r>
          </w:p>
          <w:p w14:paraId="41590DD3" w14:textId="0A7262A1" w:rsidR="00FF24E5" w:rsidRPr="00574713" w:rsidRDefault="00FF24E5" w:rsidP="004670AC">
            <w:pPr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</w:pPr>
            <w:r w:rsidRPr="0057471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6 </w:t>
            </w:r>
            <w:r w:rsidRPr="0057471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Respiratory Medicine, The Alfred, Melbourne, Victoria, Australia.</w:t>
            </w:r>
          </w:p>
          <w:p w14:paraId="083A9489" w14:textId="77777777" w:rsidR="001564A4" w:rsidRDefault="00FF24E5" w:rsidP="004670AC">
            <w:pPr>
              <w:pStyle w:val="NoSpacing"/>
              <w:jc w:val="both"/>
              <w:rPr>
                <w:rFonts w:ascii="Arial" w:hAnsi="Arial" w:cs="Arial"/>
              </w:rPr>
            </w:pPr>
            <w:r w:rsidRPr="00574713">
              <w:rPr>
                <w:rFonts w:ascii="Arial" w:hAnsi="Arial" w:cs="Arial"/>
                <w:vertAlign w:val="superscript"/>
              </w:rPr>
              <w:t xml:space="preserve">7 </w:t>
            </w:r>
            <w:r w:rsidRPr="00574713">
              <w:rPr>
                <w:rFonts w:ascii="Arial" w:hAnsi="Arial" w:cs="Arial"/>
              </w:rPr>
              <w:t>Speech Pathology, The Alfred Hospital, Melbourne 3004, VIC Australia</w:t>
            </w:r>
          </w:p>
          <w:p w14:paraId="45ED36BF" w14:textId="127AB33B" w:rsidR="00A030F0" w:rsidRPr="00574713" w:rsidRDefault="00A030F0" w:rsidP="004670A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1564A4" w:rsidRPr="0050053A" w14:paraId="6DAF615A" w14:textId="77777777" w:rsidTr="00574713">
        <w:trPr>
          <w:trHeight w:hRule="exact" w:val="8315"/>
          <w:jc w:val="center"/>
        </w:trPr>
        <w:tc>
          <w:tcPr>
            <w:tcW w:w="8640" w:type="dxa"/>
            <w:shd w:val="clear" w:color="auto" w:fill="auto"/>
          </w:tcPr>
          <w:p w14:paraId="2E1B044F" w14:textId="31F155F0" w:rsidR="00A030F0" w:rsidRDefault="00A030F0" w:rsidP="00A030F0">
            <w:pPr>
              <w:pStyle w:val="Pa12"/>
              <w:rPr>
                <w:color w:val="000000" w:themeColor="text1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>Aim:</w:t>
            </w:r>
            <w:r w:rsidRPr="00574713">
              <w:rPr>
                <w:rStyle w:val="A4"/>
              </w:rPr>
              <w:t xml:space="preserve"> </w:t>
            </w:r>
            <w:r w:rsidRPr="00574713">
              <w:rPr>
                <w:color w:val="000000" w:themeColor="text1"/>
                <w:sz w:val="22"/>
                <w:szCs w:val="22"/>
              </w:rPr>
              <w:t>Inducible</w:t>
            </w:r>
            <w:r w:rsidRPr="004670AC">
              <w:rPr>
                <w:color w:val="000000" w:themeColor="text1"/>
                <w:sz w:val="22"/>
                <w:szCs w:val="22"/>
              </w:rPr>
              <w:t xml:space="preserve"> laryngeal obstruction (ILO) is confirmed by observing paradoxical vocal fold movement (PVFM) on laryngoscopy, but</w:t>
            </w:r>
            <w:r w:rsidRPr="004670AC">
              <w:rPr>
                <w:color w:val="000000"/>
                <w:sz w:val="22"/>
                <w:szCs w:val="22"/>
                <w:lang w:val="en-GB"/>
              </w:rPr>
              <w:t xml:space="preserve"> test sensitivity is reduced by its intermittent nature. Specificity of isolated expiratory PVFM is also unclear, possibly denoting a physiologic response to lower airway obstruction.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We sought to</w:t>
            </w:r>
            <w:r w:rsidRPr="004670AC">
              <w:rPr>
                <w:color w:val="000000" w:themeColor="text1"/>
                <w:sz w:val="22"/>
                <w:szCs w:val="22"/>
              </w:rPr>
              <w:t xml:space="preserve"> clarify </w:t>
            </w:r>
            <w:proofErr w:type="spellStart"/>
            <w:r w:rsidRPr="004670AC">
              <w:rPr>
                <w:color w:val="000000" w:themeColor="text1"/>
                <w:sz w:val="22"/>
                <w:szCs w:val="22"/>
              </w:rPr>
              <w:t>laryngoscopic</w:t>
            </w:r>
            <w:proofErr w:type="spellEnd"/>
            <w:r w:rsidRPr="004670AC">
              <w:rPr>
                <w:color w:val="000000" w:themeColor="text1"/>
                <w:sz w:val="22"/>
                <w:szCs w:val="22"/>
              </w:rPr>
              <w:t xml:space="preserve"> diagnosis in suspected ILO through mannitol provocation</w:t>
            </w:r>
          </w:p>
          <w:p w14:paraId="5D8109CA" w14:textId="77777777" w:rsidR="00A030F0" w:rsidRPr="00574713" w:rsidRDefault="00A030F0" w:rsidP="00A030F0">
            <w:pPr>
              <w:pStyle w:val="Default"/>
            </w:pPr>
          </w:p>
          <w:p w14:paraId="3A6161FA" w14:textId="77777777" w:rsidR="00A030F0" w:rsidRDefault="00A030F0" w:rsidP="00A030F0">
            <w:pPr>
              <w:pStyle w:val="Pa12"/>
              <w:rPr>
                <w:color w:val="000000" w:themeColor="text1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>
              <w:rPr>
                <w:rStyle w:val="A4"/>
                <w:b/>
                <w:bCs/>
              </w:rPr>
              <w:t>I</w:t>
            </w:r>
            <w:r w:rsidRPr="004670AC">
              <w:rPr>
                <w:bCs/>
                <w:sz w:val="22"/>
                <w:szCs w:val="22"/>
              </w:rPr>
              <w:t xml:space="preserve">n patients with suspected ILO, we assessed rates of </w:t>
            </w:r>
            <w:proofErr w:type="spellStart"/>
            <w:r w:rsidRPr="004670AC">
              <w:rPr>
                <w:bCs/>
                <w:sz w:val="22"/>
                <w:szCs w:val="22"/>
              </w:rPr>
              <w:t>laryngoscopic</w:t>
            </w:r>
            <w:proofErr w:type="spellEnd"/>
            <w:r w:rsidRPr="004670AC">
              <w:rPr>
                <w:bCs/>
                <w:sz w:val="22"/>
                <w:szCs w:val="22"/>
              </w:rPr>
              <w:t xml:space="preserve"> PVFM, both at baseline and following mannitol provocation, defined as; any inspiratory adduction, ≥50% expiratory adduction, or both. We noted accentuation of </w:t>
            </w:r>
            <w:proofErr w:type="spellStart"/>
            <w:r w:rsidRPr="004670AC">
              <w:rPr>
                <w:bCs/>
                <w:sz w:val="22"/>
                <w:szCs w:val="22"/>
              </w:rPr>
              <w:t>laryngoscopic</w:t>
            </w:r>
            <w:proofErr w:type="spellEnd"/>
            <w:r w:rsidRPr="004670AC">
              <w:rPr>
                <w:bCs/>
                <w:sz w:val="22"/>
                <w:szCs w:val="22"/>
              </w:rPr>
              <w:t xml:space="preserve"> findings following mannitol provocation, defined as new, or increased, PVFM. We explored relationships between isolated expiratory PVFM, lower airway obstruction on spirometry, and bronchial hyperresponsiveness to mannitol</w:t>
            </w:r>
            <w:r w:rsidRPr="004670AC">
              <w:rPr>
                <w:color w:val="000000"/>
                <w:sz w:val="22"/>
                <w:szCs w:val="22"/>
                <w:lang w:val="en-GB"/>
              </w:rPr>
              <w:t>. We also studied healthy volunteers.</w:t>
            </w:r>
          </w:p>
          <w:p w14:paraId="44F87442" w14:textId="77777777" w:rsidR="00A030F0" w:rsidRPr="00574713" w:rsidRDefault="00A030F0" w:rsidP="00A030F0">
            <w:pPr>
              <w:pStyle w:val="Default"/>
            </w:pPr>
          </w:p>
          <w:p w14:paraId="0A90E9E9" w14:textId="77777777" w:rsidR="00A030F0" w:rsidRDefault="00A030F0" w:rsidP="00A030F0">
            <w:pPr>
              <w:pStyle w:val="Pa12"/>
              <w:rPr>
                <w:color w:val="000000" w:themeColor="text1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Pr="004670AC">
              <w:rPr>
                <w:color w:val="000000" w:themeColor="text1"/>
                <w:sz w:val="22"/>
                <w:szCs w:val="22"/>
              </w:rPr>
              <w:t>Among 80 patients with suspected ILO, PVFM rates were 42/80 (52.5%) at baseline</w:t>
            </w:r>
            <w:bookmarkStart w:id="1" w:name="_Hlk110077811"/>
            <w:r w:rsidRPr="004670AC">
              <w:rPr>
                <w:color w:val="000000" w:themeColor="text1"/>
                <w:sz w:val="22"/>
                <w:szCs w:val="22"/>
              </w:rPr>
              <w:t xml:space="preserve"> </w:t>
            </w:r>
            <w:bookmarkEnd w:id="1"/>
            <w:r w:rsidRPr="004670AC">
              <w:rPr>
                <w:color w:val="000000" w:themeColor="text1"/>
                <w:sz w:val="22"/>
                <w:szCs w:val="22"/>
              </w:rPr>
              <w:t xml:space="preserve">and 58/80 (72.5%) following mannitol. Mannitol accentuated </w:t>
            </w:r>
            <w:proofErr w:type="spellStart"/>
            <w:r w:rsidRPr="004670AC">
              <w:rPr>
                <w:sz w:val="22"/>
                <w:szCs w:val="22"/>
              </w:rPr>
              <w:t>laryngoscopic</w:t>
            </w:r>
            <w:proofErr w:type="spellEnd"/>
            <w:r w:rsidRPr="004670AC">
              <w:rPr>
                <w:sz w:val="22"/>
                <w:szCs w:val="22"/>
              </w:rPr>
              <w:t xml:space="preserve"> findings in 45/80 (56%), with new PVFM in 17/80 (21%) and increased PVFM in 28/80 (35%). </w:t>
            </w:r>
            <w:r w:rsidRPr="004670AC">
              <w:rPr>
                <w:color w:val="000000" w:themeColor="text1"/>
                <w:sz w:val="22"/>
                <w:szCs w:val="22"/>
              </w:rPr>
              <w:t xml:space="preserve"> Among patients with baseline isolated expiratory PVFM; 21/30 had accentuation by mannitol; there was no relationship with</w:t>
            </w:r>
            <w:r w:rsidRPr="004670AC">
              <w:rPr>
                <w:color w:val="000000"/>
                <w:sz w:val="22"/>
                <w:szCs w:val="22"/>
                <w:lang w:val="en-GB"/>
              </w:rPr>
              <w:t xml:space="preserve"> airway obstruction or bronchial hyperresponsiveness. </w:t>
            </w:r>
            <w:r w:rsidRPr="004670AC">
              <w:rPr>
                <w:color w:val="000000" w:themeColor="text1"/>
                <w:sz w:val="22"/>
                <w:szCs w:val="22"/>
              </w:rPr>
              <w:t>Among healthy volunteers; PVFM rates were identical at baseline and following mannitol (4/15, 27%, all four with isolated expiratory PVFM); none (0/15) had accentuation by mannitol.</w:t>
            </w:r>
          </w:p>
          <w:p w14:paraId="746A52A1" w14:textId="77777777" w:rsidR="00A030F0" w:rsidRDefault="00A030F0" w:rsidP="00A030F0">
            <w:pPr>
              <w:pStyle w:val="Pa12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670AC">
              <w:rPr>
                <w:sz w:val="22"/>
                <w:szCs w:val="22"/>
              </w:rPr>
              <w:br/>
            </w:r>
            <w:r w:rsidRPr="004670AC">
              <w:rPr>
                <w:rStyle w:val="A4"/>
                <w:b/>
                <w:bCs/>
              </w:rPr>
              <w:t xml:space="preserve">Conclusion: </w:t>
            </w:r>
            <w:r w:rsidRPr="004670A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Accentuation of </w:t>
            </w:r>
            <w:proofErr w:type="spellStart"/>
            <w:r w:rsidRPr="004670AC">
              <w:rPr>
                <w:color w:val="000000" w:themeColor="text1"/>
                <w:sz w:val="22"/>
                <w:szCs w:val="22"/>
                <w:shd w:val="clear" w:color="auto" w:fill="FFFFFF"/>
              </w:rPr>
              <w:t>laryngoscopic</w:t>
            </w:r>
            <w:proofErr w:type="spellEnd"/>
            <w:r w:rsidRPr="004670A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findings following mannitol provocation is more useful than PVFM at baseline laryngoscopy to distinguish patients with suspected ILO from healthy volunteers. Isolated expiratory PVFM without accentuation by mannitol can be a normal finding, and also unrelated to bronchial obstruction or hyperresponsiveness. </w:t>
            </w:r>
          </w:p>
          <w:p w14:paraId="2DF0D32A" w14:textId="77777777" w:rsidR="00A030F0" w:rsidRPr="00574713" w:rsidRDefault="00A030F0" w:rsidP="00A030F0">
            <w:pPr>
              <w:pStyle w:val="Default"/>
            </w:pPr>
          </w:p>
          <w:p w14:paraId="0AE1C2A9" w14:textId="77777777" w:rsidR="00A030F0" w:rsidRPr="004670AC" w:rsidRDefault="00A030F0" w:rsidP="00A030F0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Pr="004670AC">
              <w:rPr>
                <w:rStyle w:val="A4"/>
              </w:rPr>
              <w:t>Nil.</w:t>
            </w:r>
          </w:p>
          <w:p w14:paraId="3E8B4283" w14:textId="220ED556" w:rsidR="001564A4" w:rsidRPr="00A030F0" w:rsidRDefault="001564A4" w:rsidP="00A030F0">
            <w:pPr>
              <w:pStyle w:val="Pa12"/>
              <w:rPr>
                <w:rStyle w:val="A4"/>
              </w:rPr>
            </w:pP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460EA0"/>
    <w:rsid w:val="004670AC"/>
    <w:rsid w:val="0049327E"/>
    <w:rsid w:val="0051574E"/>
    <w:rsid w:val="00574713"/>
    <w:rsid w:val="00694BB0"/>
    <w:rsid w:val="008803FA"/>
    <w:rsid w:val="00A030F0"/>
    <w:rsid w:val="00B12E32"/>
    <w:rsid w:val="00E0700F"/>
    <w:rsid w:val="00F15A3A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customStyle="1" w:styleId="Body">
    <w:name w:val="Body"/>
    <w:link w:val="BodyChar"/>
    <w:rsid w:val="00FF24E5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link w:val="NoSpacingChar"/>
    <w:uiPriority w:val="99"/>
    <w:qFormat/>
    <w:rsid w:val="00FF24E5"/>
    <w:rPr>
      <w:rFonts w:ascii="Calibri" w:eastAsia="Calibri" w:hAnsi="Calibri" w:cs="Times New Roman"/>
      <w:sz w:val="22"/>
      <w:szCs w:val="22"/>
      <w:lang w:val="en-SG"/>
    </w:rPr>
  </w:style>
  <w:style w:type="character" w:customStyle="1" w:styleId="NoSpacingChar">
    <w:name w:val="No Spacing Char"/>
    <w:basedOn w:val="DefaultParagraphFont"/>
    <w:link w:val="NoSpacing"/>
    <w:uiPriority w:val="99"/>
    <w:rsid w:val="00FF24E5"/>
    <w:rPr>
      <w:rFonts w:ascii="Calibri" w:eastAsia="Calibri" w:hAnsi="Calibri" w:cs="Times New Roman"/>
      <w:sz w:val="22"/>
      <w:szCs w:val="22"/>
      <w:lang w:val="en-SG"/>
    </w:rPr>
  </w:style>
  <w:style w:type="character" w:customStyle="1" w:styleId="BodyChar">
    <w:name w:val="Body Char"/>
    <w:basedOn w:val="DefaultParagraphFont"/>
    <w:link w:val="Body"/>
    <w:rsid w:val="00FF24E5"/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6911e96c-4cc4-42d5-8e43-f93924cf6a05"/>
    <ds:schemaRef ds:uri="9c8a2b7b-0bee-4c48-b0a6-23db8982d3bc"/>
    <ds:schemaRef ds:uri="http://schemas.microsoft.com/office/infopath/2007/PartnerControls"/>
    <ds:schemaRef ds:uri="http://purl.org/dc/terms/"/>
    <ds:schemaRef ds:uri="cab52c9b-ab33-4221-8af9-54f8f2b86a8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2023-10-12T03:14:00Z</dcterms:created>
  <dcterms:modified xsi:type="dcterms:W3CDTF">2023-10-12T03:14:00Z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