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AE49" w14:textId="3A430189" w:rsidR="008427FA" w:rsidRPr="00EF5CF5" w:rsidRDefault="00EF5CF5" w:rsidP="008427FA">
      <w:pPr>
        <w:rPr>
          <w:rStyle w:val="IntenseReference"/>
          <w:rFonts w:ascii="Arial" w:hAnsi="Arial" w:cs="Arial"/>
        </w:rPr>
      </w:pPr>
      <w:r w:rsidRPr="00EF5CF5">
        <w:rPr>
          <w:rStyle w:val="IntenseReference"/>
          <w:rFonts w:ascii="Arial" w:hAnsi="Arial" w:cs="Arial"/>
        </w:rPr>
        <w:t>Comparative risk of end-stage renal disease, myocardial infarction and stroke in young and older onset diabetes in UK Biobank</w:t>
      </w: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6DA10746" w:rsidR="008427FA" w:rsidRPr="007244F0" w:rsidRDefault="008427FA" w:rsidP="00C737EF">
      <w:pPr>
        <w:jc w:val="both"/>
        <w:rPr>
          <w:rFonts w:ascii="Arial" w:hAnsi="Arial" w:cs="Arial"/>
        </w:rPr>
      </w:pPr>
    </w:p>
    <w:p w14:paraId="27CDE67A" w14:textId="77777777" w:rsidR="009E7758" w:rsidRPr="009E7758" w:rsidRDefault="009E7758" w:rsidP="009E775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E7758">
        <w:rPr>
          <w:rStyle w:val="Strong"/>
          <w:rFonts w:ascii="Arial" w:hAnsi="Arial" w:cs="Arial"/>
          <w:sz w:val="22"/>
          <w:szCs w:val="22"/>
        </w:rPr>
        <w:t>Aims:</w:t>
      </w:r>
      <w:r w:rsidRPr="009E7758">
        <w:rPr>
          <w:rFonts w:ascii="Arial" w:hAnsi="Arial" w:cs="Arial"/>
          <w:sz w:val="22"/>
          <w:szCs w:val="22"/>
        </w:rPr>
        <w:t xml:space="preserve"> Over the past two decades, the global burden of diabetic kidney disease and end-stage renal disease (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 xml:space="preserve">) has risen rapidly, while the relative contribution of cardiovascular complications appears to be declining. The drivers of this shift remain unclear. We investigated whether the increasing prevalence of young-onset diabetes contributes to higher 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 xml:space="preserve"> risk compared with older-onset diabetes in the UK Biobank.</w:t>
      </w:r>
    </w:p>
    <w:p w14:paraId="210F9D94" w14:textId="77777777" w:rsidR="009E7758" w:rsidRPr="009E7758" w:rsidRDefault="009E7758" w:rsidP="009E775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E7758">
        <w:rPr>
          <w:rStyle w:val="Strong"/>
          <w:rFonts w:ascii="Arial" w:hAnsi="Arial" w:cs="Arial"/>
          <w:sz w:val="22"/>
          <w:szCs w:val="22"/>
        </w:rPr>
        <w:t>Methods:</w:t>
      </w:r>
      <w:r w:rsidRPr="009E7758">
        <w:rPr>
          <w:rFonts w:ascii="Arial" w:hAnsi="Arial" w:cs="Arial"/>
          <w:sz w:val="22"/>
          <w:szCs w:val="22"/>
        </w:rPr>
        <w:t xml:space="preserve"> We conducted a retrospective cohort study including 502,490 UK Biobank participants. Diabetes was categorised by age at diagnosis (&lt;20, 20–40, 41–60, &gt;60 years). Outcomes were 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>, myocardial infarction, and stroke. Univariable and multivariable logistic regression models were fitted. Multivariable models adjusted for sex and albuminuria. A secondary model replaced age at diagnosis with diabetes duration. Discrimination was assessed using receiver operating characteristic curves, and sensitivity analyses examined alternative age cut-offs and sex-stratified samples.</w:t>
      </w:r>
    </w:p>
    <w:p w14:paraId="6F1D06A3" w14:textId="77777777" w:rsidR="009E7758" w:rsidRPr="009E7758" w:rsidRDefault="009E7758" w:rsidP="009E775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E7758">
        <w:rPr>
          <w:rStyle w:val="Strong"/>
          <w:rFonts w:ascii="Arial" w:hAnsi="Arial" w:cs="Arial"/>
          <w:sz w:val="22"/>
          <w:szCs w:val="22"/>
        </w:rPr>
        <w:t>Results:</w:t>
      </w:r>
      <w:r w:rsidRPr="009E7758">
        <w:rPr>
          <w:rFonts w:ascii="Arial" w:hAnsi="Arial" w:cs="Arial"/>
          <w:sz w:val="22"/>
          <w:szCs w:val="22"/>
        </w:rPr>
        <w:t xml:space="preserve"> In univariable analyses, compared with diabetes onset &gt;60 years, odds of 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 xml:space="preserve"> were higher for onset &lt;20 years (OR 5.26, 95% CI 3.00–9.40), 20–40 years (OR 7.78, 95% CI 4.81–13.16), and 41–60 years (OR 2.33, 95% CI 1.50–3.84). No significant associations were observed for myocardial infarction or stroke. After adjustment, higher 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 xml:space="preserve"> risk persisted for onset &lt;20 years (OR 4.71, 95% CI 2.47–9.28), 20–40 years (OR 4.67, 95% CI 2.63–8.78), and 41–60 years (OR 1.94, 95% CI 1.16–3.49). When diabetes duration was modelled, each additional year increased 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 xml:space="preserve"> odds by 2%. The multivariable model demonstrated good discrimination (area under the curve approximately 0.80).</w:t>
      </w:r>
    </w:p>
    <w:p w14:paraId="47948D2E" w14:textId="372CFD23" w:rsidR="009E7758" w:rsidRPr="009E7758" w:rsidRDefault="009E7758" w:rsidP="009E775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E7758">
        <w:rPr>
          <w:rStyle w:val="Strong"/>
          <w:rFonts w:ascii="Arial" w:hAnsi="Arial" w:cs="Arial"/>
          <w:sz w:val="22"/>
          <w:szCs w:val="22"/>
        </w:rPr>
        <w:t>Conclusion:</w:t>
      </w:r>
      <w:r w:rsidRPr="009E7758">
        <w:rPr>
          <w:rFonts w:ascii="Arial" w:hAnsi="Arial" w:cs="Arial"/>
          <w:sz w:val="22"/>
          <w:szCs w:val="22"/>
        </w:rPr>
        <w:t xml:space="preserve"> Young-onset diabetes is associated with substantially higher </w:t>
      </w:r>
      <w:proofErr w:type="spellStart"/>
      <w:r w:rsidRPr="009E7758">
        <w:rPr>
          <w:rFonts w:ascii="Arial" w:hAnsi="Arial" w:cs="Arial"/>
          <w:sz w:val="22"/>
          <w:szCs w:val="22"/>
        </w:rPr>
        <w:t>ESRD</w:t>
      </w:r>
      <w:proofErr w:type="spellEnd"/>
      <w:r w:rsidRPr="009E7758">
        <w:rPr>
          <w:rFonts w:ascii="Arial" w:hAnsi="Arial" w:cs="Arial"/>
          <w:sz w:val="22"/>
          <w:szCs w:val="22"/>
        </w:rPr>
        <w:t xml:space="preserve"> risk and may be a key contributor to the rising burden of kidney failure. </w:t>
      </w:r>
      <w:r>
        <w:rPr>
          <w:rFonts w:ascii="Arial" w:hAnsi="Arial" w:cs="Arial"/>
          <w:sz w:val="22"/>
          <w:szCs w:val="22"/>
        </w:rPr>
        <w:t xml:space="preserve">Young-onset diabetes may cause microvascular complications more aggressively than older onset diabetes. Therefore, a targeted precision medicine approach is needed. </w:t>
      </w:r>
    </w:p>
    <w:p w14:paraId="5AAA730B" w14:textId="77777777" w:rsidR="008427FA" w:rsidRPr="009E7758" w:rsidRDefault="008427FA" w:rsidP="009E7758">
      <w:pPr>
        <w:jc w:val="both"/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612DA"/>
    <w:rsid w:val="0028124D"/>
    <w:rsid w:val="002F034F"/>
    <w:rsid w:val="00376B39"/>
    <w:rsid w:val="004E09DD"/>
    <w:rsid w:val="004E414E"/>
    <w:rsid w:val="007244F0"/>
    <w:rsid w:val="007C3E73"/>
    <w:rsid w:val="00830A4D"/>
    <w:rsid w:val="008427FA"/>
    <w:rsid w:val="008953CF"/>
    <w:rsid w:val="009A582D"/>
    <w:rsid w:val="009D79DB"/>
    <w:rsid w:val="009E7758"/>
    <w:rsid w:val="00A85759"/>
    <w:rsid w:val="00BC73E4"/>
    <w:rsid w:val="00C737EF"/>
    <w:rsid w:val="00D56368"/>
    <w:rsid w:val="00DD0D64"/>
    <w:rsid w:val="00E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EF5CF5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9E7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E7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Debasish Kar</cp:lastModifiedBy>
  <cp:revision>2</cp:revision>
  <dcterms:created xsi:type="dcterms:W3CDTF">2026-01-19T20:35:00Z</dcterms:created>
  <dcterms:modified xsi:type="dcterms:W3CDTF">2026-01-19T20:35:00Z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