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4CE61F0" w:rsidR="001564A4" w:rsidRPr="0050053A" w:rsidRDefault="00030559" w:rsidP="00030559">
            <w:pPr>
              <w:spacing w:before="120" w:after="120"/>
              <w:rPr>
                <w:rFonts w:ascii="Arial" w:hAnsi="Arial" w:cs="Arial"/>
                <w:b/>
                <w:sz w:val="22"/>
                <w:szCs w:val="22"/>
                <w:lang w:val="en-US" w:eastAsia="zh-CN"/>
              </w:rPr>
            </w:pPr>
            <w:r w:rsidRPr="00030559">
              <w:rPr>
                <w:rFonts w:ascii="Arial" w:hAnsi="Arial" w:cs="Arial" w:hint="eastAsia"/>
                <w:b/>
                <w:sz w:val="22"/>
                <w:szCs w:val="22"/>
                <w:lang w:val="en-US" w:eastAsia="zh-CN"/>
              </w:rPr>
              <w:t>The</w:t>
            </w:r>
            <w:r w:rsidRPr="00030559">
              <w:rPr>
                <w:rFonts w:ascii="Arial" w:hAnsi="Arial" w:cs="Arial"/>
                <w:b/>
                <w:sz w:val="22"/>
                <w:szCs w:val="22"/>
                <w:lang w:val="en-US" w:eastAsia="zh-CN"/>
              </w:rPr>
              <w:t xml:space="preserve"> performance of TECIS for forest parameters estimation by combination of waveform LiDAR and multi-angle optical observations</w:t>
            </w:r>
          </w:p>
        </w:tc>
      </w:tr>
      <w:tr w:rsidR="001564A4" w:rsidRPr="0050053A" w14:paraId="6DAF615A" w14:textId="77777777" w:rsidTr="007508D3">
        <w:trPr>
          <w:jc w:val="center"/>
        </w:trPr>
        <w:tc>
          <w:tcPr>
            <w:tcW w:w="8640" w:type="dxa"/>
            <w:shd w:val="clear" w:color="auto" w:fill="auto"/>
          </w:tcPr>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484033E0" w:rsidR="001564A4" w:rsidRPr="00A92F86" w:rsidRDefault="009C5CFB" w:rsidP="000A28E2">
            <w:pPr>
              <w:pStyle w:val="Pa12"/>
              <w:rPr>
                <w:rStyle w:val="A4"/>
                <w:b/>
                <w:bCs/>
              </w:rPr>
            </w:pPr>
            <w:r w:rsidRPr="00A92F86">
              <w:rPr>
                <w:rStyle w:val="A4"/>
                <w:b/>
                <w:bCs/>
              </w:rPr>
              <w:t>Accurately measurement of forest parameters is essential and challenging topic in forest remote sensing field. China’s terrestrial ecosystem carbon monitoring satellite (</w:t>
            </w:r>
            <w:r w:rsidRPr="00A92F86">
              <w:rPr>
                <w:rStyle w:val="A4"/>
                <w:rFonts w:hint="eastAsia"/>
                <w:b/>
                <w:bCs/>
              </w:rPr>
              <w:t>TECIS</w:t>
            </w:r>
            <w:r w:rsidRPr="00A92F86">
              <w:rPr>
                <w:rStyle w:val="A4"/>
                <w:b/>
                <w:bCs/>
              </w:rPr>
              <w:t>) was successfully launched on August 4, 2022, becoming the world’s first satellite for forest detection by integrating active and passive sensors. TECIS incorporates two key sensors, namely the Carbon Sinks and Aerosol LiDAR (CASAL) and the Directional Multi-Spectral Camera (DMC)</w:t>
            </w:r>
            <w:r w:rsidRPr="00A92F86">
              <w:rPr>
                <w:rStyle w:val="A4"/>
                <w:rFonts w:hint="eastAsia"/>
                <w:b/>
                <w:bCs/>
              </w:rPr>
              <w:t>.</w:t>
            </w:r>
            <w:r w:rsidRPr="00A92F86">
              <w:rPr>
                <w:rStyle w:val="A4"/>
                <w:b/>
                <w:bCs/>
              </w:rPr>
              <w:t xml:space="preserve"> CASAL consists of five large footprint lasers operating in the near-infrared band at 1064 nm. Each laser captures waveform data within a footprint diameter of approximately 25 m. DMC consists of five Visible and Near-Infrared (VNIR) cameras with specific observation angles at 0°, ±19°, and ±41° angles with a swath width of 20 k</w:t>
            </w:r>
            <w:r w:rsidR="00A92F86" w:rsidRPr="00A92F86">
              <w:rPr>
                <w:rStyle w:val="A4"/>
                <w:b/>
                <w:bCs/>
              </w:rPr>
              <w:t>m</w:t>
            </w:r>
            <w:r w:rsidRPr="00A92F86">
              <w:rPr>
                <w:rStyle w:val="A4"/>
                <w:b/>
                <w:bCs/>
              </w:rPr>
              <w:t>.</w:t>
            </w:r>
            <w:r w:rsidRPr="00A92F86">
              <w:rPr>
                <w:rStyle w:val="A4"/>
                <w:rFonts w:hint="eastAsia"/>
                <w:b/>
                <w:bCs/>
              </w:rPr>
              <w:t xml:space="preserve"> </w:t>
            </w:r>
            <w:r w:rsidRPr="00A92F86">
              <w:rPr>
                <w:rStyle w:val="A4"/>
                <w:b/>
                <w:bCs/>
              </w:rPr>
              <w:t>TECIS is the first mission for forest carbon mapping by integrating full waveform LiDAR and multi-angle optical observations. Here we will evaluate its performances in typical forest types</w:t>
            </w:r>
            <w:r w:rsidR="00A92F86">
              <w:rPr>
                <w:rStyle w:val="A4"/>
                <w:b/>
                <w:bCs/>
              </w:rPr>
              <w:t xml:space="preserve"> from Europe and China</w:t>
            </w:r>
            <w:r w:rsidRPr="00A92F86">
              <w:rPr>
                <w:rStyle w:val="A4"/>
                <w:b/>
                <w:bCs/>
              </w:rPr>
              <w:t xml:space="preserve">. </w:t>
            </w:r>
          </w:p>
          <w:p w14:paraId="3D770CF7" w14:textId="77777777" w:rsidR="001564A4" w:rsidRPr="00A92F86" w:rsidRDefault="001564A4" w:rsidP="000A28E2">
            <w:pPr>
              <w:pStyle w:val="Pa12"/>
              <w:rPr>
                <w:rStyle w:val="A4"/>
                <w:b/>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1DBE75F7" w14:textId="55C08263" w:rsidR="00000000" w:rsidRPr="00A92F86" w:rsidRDefault="00A92F86" w:rsidP="00A92F86">
            <w:pPr>
              <w:pStyle w:val="Pa12"/>
              <w:rPr>
                <w:rStyle w:val="A4"/>
                <w:b/>
                <w:bCs/>
              </w:rPr>
            </w:pPr>
            <w:r w:rsidRPr="00A92F86">
              <w:rPr>
                <w:rStyle w:val="A4"/>
                <w:b/>
                <w:bCs/>
              </w:rPr>
              <w:t>The estimated forest height and biomass products using airborne LiDAR and field plots were used as references. Then the waveform from CASAL were used to estimate forest height and biomass at footprint level using random forest model. The BRDF reconstructed DMC reflectance was used to spatial extrapolation according to the CASAL footprint estimations. A deep neural network</w:t>
            </w:r>
            <w:r w:rsidRPr="00A92F86" w:rsidDel="006E0957">
              <w:rPr>
                <w:rStyle w:val="A4"/>
                <w:b/>
                <w:bCs/>
              </w:rPr>
              <w:t xml:space="preserve"> </w:t>
            </w:r>
            <w:r w:rsidRPr="00A92F86">
              <w:rPr>
                <w:rStyle w:val="A4"/>
                <w:b/>
                <w:bCs/>
              </w:rPr>
              <w:t xml:space="preserve">(DNN) was built based on the training datasets from CASAL and DMC. At last, full coverage forest height and biomass maps could be obtained from the multi-angle optical images. </w:t>
            </w:r>
          </w:p>
          <w:p w14:paraId="6BF3F094" w14:textId="1A624F24" w:rsidR="001564A4" w:rsidRPr="0050053A" w:rsidRDefault="001564A4" w:rsidP="000A28E2">
            <w:pPr>
              <w:pStyle w:val="Pa12"/>
              <w:rPr>
                <w:rStyle w:val="A4"/>
                <w:b/>
                <w:bCs/>
              </w:rPr>
            </w:pPr>
            <w:r>
              <w:rPr>
                <w:sz w:val="22"/>
                <w:szCs w:val="22"/>
              </w:rPr>
              <w:br/>
            </w:r>
            <w:r w:rsidRPr="0050053A">
              <w:rPr>
                <w:rStyle w:val="A4"/>
                <w:b/>
                <w:bCs/>
              </w:rPr>
              <w:t xml:space="preserve">Results: </w:t>
            </w:r>
          </w:p>
          <w:p w14:paraId="5D1337A7" w14:textId="170923DB" w:rsidR="007508D3" w:rsidRDefault="00684612" w:rsidP="007508D3">
            <w:pPr>
              <w:pStyle w:val="Pa12"/>
              <w:rPr>
                <w:rStyle w:val="A4"/>
                <w:b/>
                <w:bCs/>
              </w:rPr>
            </w:pPr>
            <w:r>
              <w:rPr>
                <w:rStyle w:val="A4"/>
                <w:b/>
                <w:bCs/>
              </w:rPr>
              <w:t xml:space="preserve">The detailed performances of TECIS in typical forests from boreal(Switzerland/Europe), </w:t>
            </w:r>
            <w:r>
              <w:rPr>
                <w:rStyle w:val="A4"/>
                <w:b/>
                <w:bCs/>
              </w:rPr>
              <w:t xml:space="preserve">temperate </w:t>
            </w:r>
            <w:r>
              <w:rPr>
                <w:rStyle w:val="A4"/>
                <w:b/>
                <w:bCs/>
              </w:rPr>
              <w:t>(</w:t>
            </w:r>
            <w:proofErr w:type="spellStart"/>
            <w:r>
              <w:rPr>
                <w:rStyle w:val="A4"/>
                <w:b/>
                <w:bCs/>
              </w:rPr>
              <w:t>Genhe</w:t>
            </w:r>
            <w:proofErr w:type="spellEnd"/>
            <w:r>
              <w:rPr>
                <w:rStyle w:val="A4"/>
                <w:rFonts w:asciiTheme="minorEastAsia" w:eastAsiaTheme="minorEastAsia" w:hAnsiTheme="minorEastAsia" w:hint="eastAsia"/>
                <w:b/>
                <w:bCs/>
                <w:lang w:eastAsia="zh-CN"/>
              </w:rPr>
              <w:t>/</w:t>
            </w:r>
            <w:r>
              <w:rPr>
                <w:rStyle w:val="A4"/>
                <w:b/>
                <w:bCs/>
              </w:rPr>
              <w:t>China), subtropical (</w:t>
            </w:r>
            <w:proofErr w:type="spellStart"/>
            <w:r>
              <w:rPr>
                <w:rStyle w:val="A4"/>
                <w:b/>
                <w:bCs/>
              </w:rPr>
              <w:t>Puer</w:t>
            </w:r>
            <w:proofErr w:type="spellEnd"/>
            <w:r>
              <w:rPr>
                <w:rStyle w:val="A4"/>
                <w:b/>
                <w:bCs/>
              </w:rPr>
              <w:t>/China), and tropical (Hainan/China) will be shown. The w</w:t>
            </w:r>
            <w:r w:rsidR="007508D3" w:rsidRPr="007508D3">
              <w:rPr>
                <w:rStyle w:val="A4"/>
                <w:b/>
                <w:bCs/>
              </w:rPr>
              <w:t>all to wall forest biomass mapping accuracy is higher than 85% when validated at 500 m * 500 m scale, and 2.5 km * 2.5 km scale.</w:t>
            </w:r>
          </w:p>
          <w:p w14:paraId="5DD2F40B" w14:textId="77777777" w:rsidR="00157A7D" w:rsidRPr="00157A7D" w:rsidRDefault="00157A7D" w:rsidP="00157A7D">
            <w:pPr>
              <w:pStyle w:val="Default"/>
            </w:pPr>
          </w:p>
          <w:p w14:paraId="5E3806D3" w14:textId="77777777" w:rsidR="007508D3" w:rsidRDefault="007508D3" w:rsidP="00157A7D">
            <w:pPr>
              <w:pStyle w:val="Pa12"/>
              <w:jc w:val="center"/>
              <w:rPr>
                <w:sz w:val="22"/>
                <w:szCs w:val="22"/>
              </w:rPr>
            </w:pPr>
            <w:r w:rsidRPr="007508D3">
              <w:rPr>
                <w:sz w:val="22"/>
                <w:szCs w:val="22"/>
                <w:lang w:val="en-US"/>
              </w:rPr>
              <w:drawing>
                <wp:inline distT="0" distB="0" distL="0" distR="0" wp14:anchorId="3FD32346" wp14:editId="188B1F2B">
                  <wp:extent cx="3977640" cy="2150110"/>
                  <wp:effectExtent l="0" t="0" r="3810" b="2540"/>
                  <wp:docPr id="18" name="图片 17"/>
                  <wp:cNvGraphicFramePr/>
                  <a:graphic xmlns:a="http://schemas.openxmlformats.org/drawingml/2006/main">
                    <a:graphicData uri="http://schemas.openxmlformats.org/drawingml/2006/picture">
                      <pic:pic xmlns:pic="http://schemas.openxmlformats.org/drawingml/2006/picture">
                        <pic:nvPicPr>
                          <pic:cNvPr id="18" name="图片 17"/>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77640" cy="2150110"/>
                          </a:xfrm>
                          <a:prstGeom prst="rect">
                            <a:avLst/>
                          </a:prstGeom>
                          <a:noFill/>
                          <a:ln>
                            <a:noFill/>
                          </a:ln>
                        </pic:spPr>
                      </pic:pic>
                    </a:graphicData>
                  </a:graphic>
                </wp:inline>
              </w:drawing>
            </w:r>
          </w:p>
          <w:p w14:paraId="2D3D512A" w14:textId="6D7E880B" w:rsidR="007508D3" w:rsidRPr="00C708B6" w:rsidRDefault="007508D3" w:rsidP="007508D3">
            <w:pPr>
              <w:pStyle w:val="Pa12"/>
              <w:rPr>
                <w:rStyle w:val="A4"/>
                <w:b/>
                <w:bCs/>
              </w:rPr>
            </w:pPr>
            <w:r w:rsidRPr="00C708B6">
              <w:rPr>
                <w:rStyle w:val="A4"/>
                <w:rFonts w:eastAsiaTheme="minorEastAsia"/>
                <w:b/>
                <w:bCs/>
              </w:rPr>
              <w:t xml:space="preserve">Fig.1 The full waveform LiDAR and multi-angle optical cameras configuration of TECIS </w:t>
            </w:r>
          </w:p>
          <w:p w14:paraId="7EB46340" w14:textId="2A17A45B" w:rsidR="007508D3" w:rsidRPr="00C708B6" w:rsidRDefault="007508D3" w:rsidP="007508D3">
            <w:pPr>
              <w:pStyle w:val="Pa12"/>
              <w:rPr>
                <w:rStyle w:val="A4"/>
                <w:b/>
                <w:bCs/>
              </w:rPr>
            </w:pPr>
            <w:r w:rsidRPr="00C708B6">
              <w:rPr>
                <w:rStyle w:val="A4"/>
                <w:b/>
                <w:bCs/>
              </w:rPr>
              <w:lastRenderedPageBreak/>
              <w:drawing>
                <wp:inline distT="0" distB="0" distL="0" distR="0" wp14:anchorId="60E119E8" wp14:editId="616C99C0">
                  <wp:extent cx="2328333" cy="2237651"/>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7275" cy="2246245"/>
                          </a:xfrm>
                          <a:prstGeom prst="rect">
                            <a:avLst/>
                          </a:prstGeom>
                        </pic:spPr>
                      </pic:pic>
                    </a:graphicData>
                  </a:graphic>
                </wp:inline>
              </w:drawing>
            </w:r>
            <w:r w:rsidRPr="00C708B6">
              <w:rPr>
                <w:rStyle w:val="A4"/>
                <w:rFonts w:hint="eastAsia"/>
                <w:b/>
                <w:bCs/>
              </w:rPr>
              <w:t xml:space="preserve"> </w:t>
            </w:r>
            <w:r w:rsidRPr="00C708B6">
              <w:rPr>
                <w:rStyle w:val="A4"/>
                <w:b/>
                <w:bCs/>
              </w:rPr>
              <w:drawing>
                <wp:inline distT="0" distB="0" distL="0" distR="0" wp14:anchorId="420031BB" wp14:editId="6ED36DC6">
                  <wp:extent cx="2428632" cy="2302933"/>
                  <wp:effectExtent l="0" t="0" r="0" b="254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4963" cy="2308936"/>
                          </a:xfrm>
                          <a:prstGeom prst="rect">
                            <a:avLst/>
                          </a:prstGeom>
                        </pic:spPr>
                      </pic:pic>
                    </a:graphicData>
                  </a:graphic>
                </wp:inline>
              </w:drawing>
            </w:r>
            <w:r w:rsidR="001564A4" w:rsidRPr="00C708B6">
              <w:rPr>
                <w:rStyle w:val="A4"/>
                <w:b/>
                <w:bCs/>
              </w:rPr>
              <w:br/>
            </w:r>
            <w:r w:rsidRPr="00C708B6">
              <w:rPr>
                <w:rStyle w:val="A4"/>
                <w:rFonts w:eastAsiaTheme="minorEastAsia"/>
                <w:b/>
                <w:bCs/>
              </w:rPr>
              <w:t xml:space="preserve">Fig. </w:t>
            </w:r>
            <w:r w:rsidRPr="00C708B6">
              <w:rPr>
                <w:rStyle w:val="A4"/>
                <w:b/>
                <w:bCs/>
              </w:rPr>
              <w:t>2</w:t>
            </w:r>
            <w:r w:rsidRPr="00C708B6">
              <w:rPr>
                <w:rStyle w:val="A4"/>
                <w:rFonts w:eastAsiaTheme="minorEastAsia"/>
                <w:b/>
                <w:bCs/>
              </w:rPr>
              <w:t xml:space="preserve"> Accuracy validation of biomass estimation at the (a) 500 m * 500 m and (b) 2.5 km * 2.5 km scale, respectively</w:t>
            </w:r>
          </w:p>
          <w:p w14:paraId="0861549B" w14:textId="48C4D3DA" w:rsidR="001564A4" w:rsidRPr="007508D3" w:rsidRDefault="001564A4" w:rsidP="000A28E2">
            <w:pPr>
              <w:pStyle w:val="Pa12"/>
              <w:rPr>
                <w:sz w:val="22"/>
                <w:szCs w:val="22"/>
                <w:lang w:val="en-U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330C325C" w14:textId="1187F160" w:rsidR="00000000" w:rsidRPr="007508D3" w:rsidRDefault="00C708B6" w:rsidP="007508D3">
            <w:pPr>
              <w:pStyle w:val="Pa12"/>
              <w:rPr>
                <w:rStyle w:val="A4"/>
                <w:b/>
                <w:bCs/>
              </w:rPr>
            </w:pPr>
            <w:r w:rsidRPr="007508D3">
              <w:rPr>
                <w:rStyle w:val="A4"/>
                <w:b/>
                <w:bCs/>
              </w:rPr>
              <w:t xml:space="preserve">The TECIS satellite has achieved multi-beam (LiDAR) </w:t>
            </w:r>
            <w:r w:rsidR="007C6521">
              <w:rPr>
                <w:rStyle w:val="A4"/>
                <w:rFonts w:ascii="微软雅黑" w:eastAsia="微软雅黑" w:hAnsi="微软雅黑" w:cs="微软雅黑" w:hint="eastAsia"/>
                <w:b/>
                <w:bCs/>
                <w:lang w:eastAsia="zh-CN"/>
              </w:rPr>
              <w:t>a</w:t>
            </w:r>
            <w:r w:rsidR="007C6521">
              <w:rPr>
                <w:rStyle w:val="A4"/>
                <w:rFonts w:ascii="微软雅黑" w:eastAsia="微软雅黑" w:hAnsi="微软雅黑" w:cs="微软雅黑"/>
                <w:b/>
                <w:bCs/>
                <w:lang w:eastAsia="zh-CN"/>
              </w:rPr>
              <w:t>nd</w:t>
            </w:r>
            <w:r w:rsidRPr="007508D3">
              <w:rPr>
                <w:rStyle w:val="A4"/>
                <w:rFonts w:hint="eastAsia"/>
                <w:b/>
                <w:bCs/>
              </w:rPr>
              <w:t xml:space="preserve"> </w:t>
            </w:r>
            <w:r w:rsidRPr="007508D3">
              <w:rPr>
                <w:rStyle w:val="A4"/>
                <w:b/>
                <w:bCs/>
              </w:rPr>
              <w:t>multi-angle (optical) collab</w:t>
            </w:r>
            <w:r w:rsidRPr="007508D3">
              <w:rPr>
                <w:rStyle w:val="A4"/>
                <w:b/>
                <w:bCs/>
              </w:rPr>
              <w:t xml:space="preserve">orative observation of forest </w:t>
            </w:r>
            <w:r w:rsidR="007C6521">
              <w:rPr>
                <w:rStyle w:val="A4"/>
                <w:b/>
                <w:bCs/>
              </w:rPr>
              <w:t>parameters</w:t>
            </w:r>
            <w:r w:rsidRPr="007508D3">
              <w:rPr>
                <w:rStyle w:val="A4"/>
                <w:b/>
                <w:bCs/>
              </w:rPr>
              <w:t xml:space="preserve"> for the first time.</w:t>
            </w:r>
            <w:r w:rsidR="007508D3">
              <w:rPr>
                <w:rStyle w:val="A4"/>
                <w:b/>
                <w:bCs/>
              </w:rPr>
              <w:t xml:space="preserve"> </w:t>
            </w:r>
            <w:r w:rsidRPr="007508D3">
              <w:rPr>
                <w:rStyle w:val="A4"/>
                <w:b/>
                <w:bCs/>
              </w:rPr>
              <w:t>Multi-beam full waveform LiDAR data provide forest parameter information at footprint level.</w:t>
            </w:r>
            <w:r w:rsidR="007508D3">
              <w:rPr>
                <w:rStyle w:val="A4"/>
                <w:b/>
                <w:bCs/>
              </w:rPr>
              <w:t xml:space="preserve"> </w:t>
            </w:r>
            <w:r w:rsidRPr="007508D3">
              <w:rPr>
                <w:rStyle w:val="A4"/>
                <w:b/>
                <w:bCs/>
              </w:rPr>
              <w:t>Multi-angle information improves the wall-to-wall forest parameter estimation capacity.</w:t>
            </w:r>
          </w:p>
          <w:p w14:paraId="69B04572" w14:textId="77777777" w:rsidR="001564A4" w:rsidRPr="0050053A" w:rsidRDefault="001564A4" w:rsidP="000A28E2">
            <w:pPr>
              <w:pStyle w:val="Pa12"/>
              <w:rPr>
                <w:sz w:val="22"/>
                <w:szCs w:val="22"/>
              </w:rPr>
            </w:pPr>
            <w:r>
              <w:rPr>
                <w:sz w:val="22"/>
                <w:szCs w:val="22"/>
              </w:rPr>
              <w:br/>
            </w:r>
          </w:p>
          <w:p w14:paraId="5F58D34F" w14:textId="0D207B8A" w:rsidR="001564A4" w:rsidRPr="0050053A" w:rsidRDefault="001564A4" w:rsidP="000A28E2">
            <w:pPr>
              <w:pStyle w:val="Default"/>
              <w:rPr>
                <w:sz w:val="22"/>
                <w:szCs w:val="22"/>
                <w:lang w:val="en-US" w:eastAsia="en-GB"/>
              </w:rPr>
            </w:pPr>
            <w:r>
              <w:rPr>
                <w:sz w:val="22"/>
                <w:szCs w:val="22"/>
                <w:lang w:val="en-US" w:eastAsia="en-GB"/>
              </w:rPr>
              <w:br/>
            </w:r>
          </w:p>
        </w:tc>
        <w:bookmarkStart w:id="0" w:name="_GoBack"/>
        <w:bookmarkEnd w:id="0"/>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tlas Grotesk Regular">
    <w:altName w:val="Arial"/>
    <w:panose1 w:val="00000000000000000000"/>
    <w:charset w:val="00"/>
    <w:family w:val="modern"/>
    <w:notTrueType/>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2E4"/>
    <w:multiLevelType w:val="hybridMultilevel"/>
    <w:tmpl w:val="107E11EC"/>
    <w:lvl w:ilvl="0" w:tplc="1018DA20">
      <w:start w:val="1"/>
      <w:numFmt w:val="bullet"/>
      <w:lvlText w:val=""/>
      <w:lvlJc w:val="left"/>
      <w:pPr>
        <w:tabs>
          <w:tab w:val="num" w:pos="720"/>
        </w:tabs>
        <w:ind w:left="720" w:hanging="360"/>
      </w:pPr>
      <w:rPr>
        <w:rFonts w:ascii="Wingdings" w:hAnsi="Wingdings" w:hint="default"/>
      </w:rPr>
    </w:lvl>
    <w:lvl w:ilvl="1" w:tplc="7B2A7B2E" w:tentative="1">
      <w:start w:val="1"/>
      <w:numFmt w:val="bullet"/>
      <w:lvlText w:val=""/>
      <w:lvlJc w:val="left"/>
      <w:pPr>
        <w:tabs>
          <w:tab w:val="num" w:pos="1440"/>
        </w:tabs>
        <w:ind w:left="1440" w:hanging="360"/>
      </w:pPr>
      <w:rPr>
        <w:rFonts w:ascii="Wingdings" w:hAnsi="Wingdings" w:hint="default"/>
      </w:rPr>
    </w:lvl>
    <w:lvl w:ilvl="2" w:tplc="1AAEDCCC" w:tentative="1">
      <w:start w:val="1"/>
      <w:numFmt w:val="bullet"/>
      <w:lvlText w:val=""/>
      <w:lvlJc w:val="left"/>
      <w:pPr>
        <w:tabs>
          <w:tab w:val="num" w:pos="2160"/>
        </w:tabs>
        <w:ind w:left="2160" w:hanging="360"/>
      </w:pPr>
      <w:rPr>
        <w:rFonts w:ascii="Wingdings" w:hAnsi="Wingdings" w:hint="default"/>
      </w:rPr>
    </w:lvl>
    <w:lvl w:ilvl="3" w:tplc="10D03E3A" w:tentative="1">
      <w:start w:val="1"/>
      <w:numFmt w:val="bullet"/>
      <w:lvlText w:val=""/>
      <w:lvlJc w:val="left"/>
      <w:pPr>
        <w:tabs>
          <w:tab w:val="num" w:pos="2880"/>
        </w:tabs>
        <w:ind w:left="2880" w:hanging="360"/>
      </w:pPr>
      <w:rPr>
        <w:rFonts w:ascii="Wingdings" w:hAnsi="Wingdings" w:hint="default"/>
      </w:rPr>
    </w:lvl>
    <w:lvl w:ilvl="4" w:tplc="B88ECA06" w:tentative="1">
      <w:start w:val="1"/>
      <w:numFmt w:val="bullet"/>
      <w:lvlText w:val=""/>
      <w:lvlJc w:val="left"/>
      <w:pPr>
        <w:tabs>
          <w:tab w:val="num" w:pos="3600"/>
        </w:tabs>
        <w:ind w:left="3600" w:hanging="360"/>
      </w:pPr>
      <w:rPr>
        <w:rFonts w:ascii="Wingdings" w:hAnsi="Wingdings" w:hint="default"/>
      </w:rPr>
    </w:lvl>
    <w:lvl w:ilvl="5" w:tplc="F0BCDE7C" w:tentative="1">
      <w:start w:val="1"/>
      <w:numFmt w:val="bullet"/>
      <w:lvlText w:val=""/>
      <w:lvlJc w:val="left"/>
      <w:pPr>
        <w:tabs>
          <w:tab w:val="num" w:pos="4320"/>
        </w:tabs>
        <w:ind w:left="4320" w:hanging="360"/>
      </w:pPr>
      <w:rPr>
        <w:rFonts w:ascii="Wingdings" w:hAnsi="Wingdings" w:hint="default"/>
      </w:rPr>
    </w:lvl>
    <w:lvl w:ilvl="6" w:tplc="DFFC54FA" w:tentative="1">
      <w:start w:val="1"/>
      <w:numFmt w:val="bullet"/>
      <w:lvlText w:val=""/>
      <w:lvlJc w:val="left"/>
      <w:pPr>
        <w:tabs>
          <w:tab w:val="num" w:pos="5040"/>
        </w:tabs>
        <w:ind w:left="5040" w:hanging="360"/>
      </w:pPr>
      <w:rPr>
        <w:rFonts w:ascii="Wingdings" w:hAnsi="Wingdings" w:hint="default"/>
      </w:rPr>
    </w:lvl>
    <w:lvl w:ilvl="7" w:tplc="784EEA28" w:tentative="1">
      <w:start w:val="1"/>
      <w:numFmt w:val="bullet"/>
      <w:lvlText w:val=""/>
      <w:lvlJc w:val="left"/>
      <w:pPr>
        <w:tabs>
          <w:tab w:val="num" w:pos="5760"/>
        </w:tabs>
        <w:ind w:left="5760" w:hanging="360"/>
      </w:pPr>
      <w:rPr>
        <w:rFonts w:ascii="Wingdings" w:hAnsi="Wingdings" w:hint="default"/>
      </w:rPr>
    </w:lvl>
    <w:lvl w:ilvl="8" w:tplc="BE72AA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B87B9C"/>
    <w:multiLevelType w:val="hybridMultilevel"/>
    <w:tmpl w:val="D168087C"/>
    <w:lvl w:ilvl="0" w:tplc="FC62FBB6">
      <w:start w:val="1"/>
      <w:numFmt w:val="bullet"/>
      <w:lvlText w:val=""/>
      <w:lvlJc w:val="left"/>
      <w:pPr>
        <w:tabs>
          <w:tab w:val="num" w:pos="720"/>
        </w:tabs>
        <w:ind w:left="720" w:hanging="360"/>
      </w:pPr>
      <w:rPr>
        <w:rFonts w:ascii="Wingdings" w:hAnsi="Wingdings" w:hint="default"/>
      </w:rPr>
    </w:lvl>
    <w:lvl w:ilvl="1" w:tplc="2A0A3556" w:tentative="1">
      <w:start w:val="1"/>
      <w:numFmt w:val="bullet"/>
      <w:lvlText w:val=""/>
      <w:lvlJc w:val="left"/>
      <w:pPr>
        <w:tabs>
          <w:tab w:val="num" w:pos="1440"/>
        </w:tabs>
        <w:ind w:left="1440" w:hanging="360"/>
      </w:pPr>
      <w:rPr>
        <w:rFonts w:ascii="Wingdings" w:hAnsi="Wingdings" w:hint="default"/>
      </w:rPr>
    </w:lvl>
    <w:lvl w:ilvl="2" w:tplc="78ACF136" w:tentative="1">
      <w:start w:val="1"/>
      <w:numFmt w:val="bullet"/>
      <w:lvlText w:val=""/>
      <w:lvlJc w:val="left"/>
      <w:pPr>
        <w:tabs>
          <w:tab w:val="num" w:pos="2160"/>
        </w:tabs>
        <w:ind w:left="2160" w:hanging="360"/>
      </w:pPr>
      <w:rPr>
        <w:rFonts w:ascii="Wingdings" w:hAnsi="Wingdings" w:hint="default"/>
      </w:rPr>
    </w:lvl>
    <w:lvl w:ilvl="3" w:tplc="54B89732" w:tentative="1">
      <w:start w:val="1"/>
      <w:numFmt w:val="bullet"/>
      <w:lvlText w:val=""/>
      <w:lvlJc w:val="left"/>
      <w:pPr>
        <w:tabs>
          <w:tab w:val="num" w:pos="2880"/>
        </w:tabs>
        <w:ind w:left="2880" w:hanging="360"/>
      </w:pPr>
      <w:rPr>
        <w:rFonts w:ascii="Wingdings" w:hAnsi="Wingdings" w:hint="default"/>
      </w:rPr>
    </w:lvl>
    <w:lvl w:ilvl="4" w:tplc="D63E975A" w:tentative="1">
      <w:start w:val="1"/>
      <w:numFmt w:val="bullet"/>
      <w:lvlText w:val=""/>
      <w:lvlJc w:val="left"/>
      <w:pPr>
        <w:tabs>
          <w:tab w:val="num" w:pos="3600"/>
        </w:tabs>
        <w:ind w:left="3600" w:hanging="360"/>
      </w:pPr>
      <w:rPr>
        <w:rFonts w:ascii="Wingdings" w:hAnsi="Wingdings" w:hint="default"/>
      </w:rPr>
    </w:lvl>
    <w:lvl w:ilvl="5" w:tplc="0694B98C" w:tentative="1">
      <w:start w:val="1"/>
      <w:numFmt w:val="bullet"/>
      <w:lvlText w:val=""/>
      <w:lvlJc w:val="left"/>
      <w:pPr>
        <w:tabs>
          <w:tab w:val="num" w:pos="4320"/>
        </w:tabs>
        <w:ind w:left="4320" w:hanging="360"/>
      </w:pPr>
      <w:rPr>
        <w:rFonts w:ascii="Wingdings" w:hAnsi="Wingdings" w:hint="default"/>
      </w:rPr>
    </w:lvl>
    <w:lvl w:ilvl="6" w:tplc="B9021AC0" w:tentative="1">
      <w:start w:val="1"/>
      <w:numFmt w:val="bullet"/>
      <w:lvlText w:val=""/>
      <w:lvlJc w:val="left"/>
      <w:pPr>
        <w:tabs>
          <w:tab w:val="num" w:pos="5040"/>
        </w:tabs>
        <w:ind w:left="5040" w:hanging="360"/>
      </w:pPr>
      <w:rPr>
        <w:rFonts w:ascii="Wingdings" w:hAnsi="Wingdings" w:hint="default"/>
      </w:rPr>
    </w:lvl>
    <w:lvl w:ilvl="7" w:tplc="7924E132" w:tentative="1">
      <w:start w:val="1"/>
      <w:numFmt w:val="bullet"/>
      <w:lvlText w:val=""/>
      <w:lvlJc w:val="left"/>
      <w:pPr>
        <w:tabs>
          <w:tab w:val="num" w:pos="5760"/>
        </w:tabs>
        <w:ind w:left="5760" w:hanging="360"/>
      </w:pPr>
      <w:rPr>
        <w:rFonts w:ascii="Wingdings" w:hAnsi="Wingdings" w:hint="default"/>
      </w:rPr>
    </w:lvl>
    <w:lvl w:ilvl="8" w:tplc="EC2A9F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30559"/>
    <w:rsid w:val="00086911"/>
    <w:rsid w:val="001564A4"/>
    <w:rsid w:val="00157A7D"/>
    <w:rsid w:val="001F0AC4"/>
    <w:rsid w:val="0051574E"/>
    <w:rsid w:val="00684612"/>
    <w:rsid w:val="007508D3"/>
    <w:rsid w:val="007C6521"/>
    <w:rsid w:val="008803FA"/>
    <w:rsid w:val="009A632F"/>
    <w:rsid w:val="009C5CFB"/>
    <w:rsid w:val="00A92F86"/>
    <w:rsid w:val="00B12E32"/>
    <w:rsid w:val="00C708B6"/>
    <w:rsid w:val="00CF7FFC"/>
    <w:rsid w:val="00E0700F"/>
    <w:rsid w:val="00E725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a3">
    <w:name w:val="Normal (Web)"/>
    <w:basedOn w:val="a"/>
    <w:uiPriority w:val="99"/>
    <w:semiHidden/>
    <w:unhideWhenUsed/>
    <w:rsid w:val="007508D3"/>
    <w:pPr>
      <w:spacing w:before="100" w:beforeAutospacing="1" w:after="100" w:afterAutospacing="1"/>
    </w:pPr>
    <w:rPr>
      <w:rFonts w:ascii="宋体" w:eastAsia="宋体" w:hAnsi="宋体" w:cs="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4371">
      <w:bodyDiv w:val="1"/>
      <w:marLeft w:val="0"/>
      <w:marRight w:val="0"/>
      <w:marTop w:val="0"/>
      <w:marBottom w:val="0"/>
      <w:divBdr>
        <w:top w:val="none" w:sz="0" w:space="0" w:color="auto"/>
        <w:left w:val="none" w:sz="0" w:space="0" w:color="auto"/>
        <w:bottom w:val="none" w:sz="0" w:space="0" w:color="auto"/>
        <w:right w:val="none" w:sz="0" w:space="0" w:color="auto"/>
      </w:divBdr>
      <w:divsChild>
        <w:div w:id="337268804">
          <w:marLeft w:val="720"/>
          <w:marRight w:val="0"/>
          <w:marTop w:val="0"/>
          <w:marBottom w:val="0"/>
          <w:divBdr>
            <w:top w:val="none" w:sz="0" w:space="0" w:color="auto"/>
            <w:left w:val="none" w:sz="0" w:space="0" w:color="auto"/>
            <w:bottom w:val="none" w:sz="0" w:space="0" w:color="auto"/>
            <w:right w:val="none" w:sz="0" w:space="0" w:color="auto"/>
          </w:divBdr>
        </w:div>
        <w:div w:id="1604873078">
          <w:marLeft w:val="720"/>
          <w:marRight w:val="0"/>
          <w:marTop w:val="0"/>
          <w:marBottom w:val="0"/>
          <w:divBdr>
            <w:top w:val="none" w:sz="0" w:space="0" w:color="auto"/>
            <w:left w:val="none" w:sz="0" w:space="0" w:color="auto"/>
            <w:bottom w:val="none" w:sz="0" w:space="0" w:color="auto"/>
            <w:right w:val="none" w:sz="0" w:space="0" w:color="auto"/>
          </w:divBdr>
        </w:div>
        <w:div w:id="182210956">
          <w:marLeft w:val="720"/>
          <w:marRight w:val="0"/>
          <w:marTop w:val="0"/>
          <w:marBottom w:val="0"/>
          <w:divBdr>
            <w:top w:val="none" w:sz="0" w:space="0" w:color="auto"/>
            <w:left w:val="none" w:sz="0" w:space="0" w:color="auto"/>
            <w:bottom w:val="none" w:sz="0" w:space="0" w:color="auto"/>
            <w:right w:val="none" w:sz="0" w:space="0" w:color="auto"/>
          </w:divBdr>
        </w:div>
      </w:divsChild>
    </w:div>
    <w:div w:id="457261749">
      <w:bodyDiv w:val="1"/>
      <w:marLeft w:val="0"/>
      <w:marRight w:val="0"/>
      <w:marTop w:val="0"/>
      <w:marBottom w:val="0"/>
      <w:divBdr>
        <w:top w:val="none" w:sz="0" w:space="0" w:color="auto"/>
        <w:left w:val="none" w:sz="0" w:space="0" w:color="auto"/>
        <w:bottom w:val="none" w:sz="0" w:space="0" w:color="auto"/>
        <w:right w:val="none" w:sz="0" w:space="0" w:color="auto"/>
      </w:divBdr>
    </w:div>
    <w:div w:id="488718065">
      <w:bodyDiv w:val="1"/>
      <w:marLeft w:val="0"/>
      <w:marRight w:val="0"/>
      <w:marTop w:val="0"/>
      <w:marBottom w:val="0"/>
      <w:divBdr>
        <w:top w:val="none" w:sz="0" w:space="0" w:color="auto"/>
        <w:left w:val="none" w:sz="0" w:space="0" w:color="auto"/>
        <w:bottom w:val="none" w:sz="0" w:space="0" w:color="auto"/>
        <w:right w:val="none" w:sz="0" w:space="0" w:color="auto"/>
      </w:divBdr>
      <w:divsChild>
        <w:div w:id="1062094290">
          <w:marLeft w:val="720"/>
          <w:marRight w:val="0"/>
          <w:marTop w:val="0"/>
          <w:marBottom w:val="0"/>
          <w:divBdr>
            <w:top w:val="none" w:sz="0" w:space="0" w:color="auto"/>
            <w:left w:val="none" w:sz="0" w:space="0" w:color="auto"/>
            <w:bottom w:val="none" w:sz="0" w:space="0" w:color="auto"/>
            <w:right w:val="none" w:sz="0" w:space="0" w:color="auto"/>
          </w:divBdr>
        </w:div>
      </w:divsChild>
    </w:div>
    <w:div w:id="512691793">
      <w:bodyDiv w:val="1"/>
      <w:marLeft w:val="0"/>
      <w:marRight w:val="0"/>
      <w:marTop w:val="0"/>
      <w:marBottom w:val="0"/>
      <w:divBdr>
        <w:top w:val="none" w:sz="0" w:space="0" w:color="auto"/>
        <w:left w:val="none" w:sz="0" w:space="0" w:color="auto"/>
        <w:bottom w:val="none" w:sz="0" w:space="0" w:color="auto"/>
        <w:right w:val="none" w:sz="0" w:space="0" w:color="auto"/>
      </w:divBdr>
    </w:div>
    <w:div w:id="9113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Yong Pang</cp:lastModifiedBy>
  <cp:revision>25</cp:revision>
  <dcterms:created xsi:type="dcterms:W3CDTF">2020-08-27T00:40:00Z</dcterms:created>
  <dcterms:modified xsi:type="dcterms:W3CDTF">2024-03-31T07:01:00Z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