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EB46CE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42CAAA1A" w:rsidR="001564A4" w:rsidRPr="00EB46CE" w:rsidRDefault="00D25D61" w:rsidP="007C2B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46CE">
              <w:rPr>
                <w:rFonts w:ascii="Arial" w:hAnsi="Arial" w:cs="Arial"/>
                <w:b/>
                <w:bCs/>
                <w:sz w:val="22"/>
                <w:szCs w:val="22"/>
              </w:rPr>
              <w:t>Air Pollution is Linked to Interstitial Lung Disease Health Outcomes</w:t>
            </w:r>
          </w:p>
        </w:tc>
      </w:tr>
      <w:tr w:rsidR="001564A4" w:rsidRPr="00EB46CE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0C7AD01A" w:rsidR="001564A4" w:rsidRPr="00EB46CE" w:rsidRDefault="007C2BBF" w:rsidP="007C2BBF">
            <w:pPr>
              <w:rPr>
                <w:rFonts w:ascii="Arial" w:hAnsi="Arial" w:cs="Arial"/>
                <w:sz w:val="22"/>
                <w:szCs w:val="22"/>
              </w:rPr>
            </w:pPr>
            <w:r w:rsidRPr="00EB46CE">
              <w:rPr>
                <w:rFonts w:ascii="Arial" w:hAnsi="Arial" w:cs="Arial"/>
                <w:sz w:val="22"/>
                <w:szCs w:val="22"/>
              </w:rPr>
              <w:t xml:space="preserve">Doris Lan </w:t>
            </w:r>
            <w:r w:rsidRPr="00EB46CE">
              <w:rPr>
                <w:rFonts w:ascii="Arial" w:hAnsi="Arial" w:cs="Arial"/>
                <w:sz w:val="22"/>
                <w:szCs w:val="22"/>
                <w:vertAlign w:val="superscript"/>
              </w:rPr>
              <w:t>1,2,3</w:t>
            </w:r>
            <w:r w:rsidRPr="00EB46CE">
              <w:rPr>
                <w:rFonts w:ascii="Arial" w:hAnsi="Arial" w:cs="Arial"/>
                <w:sz w:val="22"/>
                <w:szCs w:val="22"/>
              </w:rPr>
              <w:t xml:space="preserve">, Caitlin </w:t>
            </w:r>
            <w:r w:rsidR="00C94537" w:rsidRPr="00EB46CE">
              <w:rPr>
                <w:rFonts w:ascii="Arial" w:hAnsi="Arial" w:cs="Arial"/>
                <w:sz w:val="22"/>
                <w:szCs w:val="22"/>
              </w:rPr>
              <w:t xml:space="preserve">C. </w:t>
            </w:r>
            <w:r w:rsidRPr="00EB46CE">
              <w:rPr>
                <w:rFonts w:ascii="Arial" w:hAnsi="Arial" w:cs="Arial"/>
                <w:sz w:val="22"/>
                <w:szCs w:val="22"/>
              </w:rPr>
              <w:t>Fermoyle</w:t>
            </w:r>
            <w:r w:rsidRPr="00EB46CE">
              <w:rPr>
                <w:rFonts w:ascii="Arial" w:hAnsi="Arial" w:cs="Arial"/>
                <w:sz w:val="22"/>
                <w:szCs w:val="22"/>
                <w:vertAlign w:val="superscript"/>
              </w:rPr>
              <w:t>1,</w:t>
            </w:r>
            <w:r w:rsidR="007C5A64" w:rsidRPr="00EB46CE">
              <w:rPr>
                <w:rFonts w:ascii="Arial" w:hAnsi="Arial" w:cs="Arial"/>
                <w:sz w:val="22"/>
                <w:szCs w:val="22"/>
                <w:vertAlign w:val="superscript"/>
              </w:rPr>
              <w:t>2,</w:t>
            </w:r>
            <w:r w:rsidRPr="00EB46C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EB46CE">
              <w:rPr>
                <w:rFonts w:ascii="Arial" w:hAnsi="Arial" w:cs="Arial"/>
                <w:sz w:val="22"/>
                <w:szCs w:val="22"/>
              </w:rPr>
              <w:t xml:space="preserve">, Lauren K. Troy </w:t>
            </w:r>
            <w:r w:rsidRPr="00EB46CE">
              <w:rPr>
                <w:rFonts w:ascii="Arial" w:hAnsi="Arial" w:cs="Arial"/>
                <w:sz w:val="22"/>
                <w:szCs w:val="22"/>
                <w:vertAlign w:val="superscript"/>
              </w:rPr>
              <w:t>1,2,3</w:t>
            </w:r>
            <w:r w:rsidRPr="00EB46CE">
              <w:rPr>
                <w:rFonts w:ascii="Arial" w:hAnsi="Arial" w:cs="Arial"/>
                <w:sz w:val="22"/>
                <w:szCs w:val="22"/>
              </w:rPr>
              <w:t xml:space="preserve">, Luke D. Knibbs </w:t>
            </w:r>
            <w:r w:rsidRPr="00EB46CE">
              <w:rPr>
                <w:rFonts w:ascii="Arial" w:hAnsi="Arial" w:cs="Arial"/>
                <w:sz w:val="22"/>
                <w:szCs w:val="22"/>
                <w:vertAlign w:val="superscript"/>
              </w:rPr>
              <w:t>3,4,</w:t>
            </w:r>
            <w:proofErr w:type="gramStart"/>
            <w:r w:rsidRPr="00EB46C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5 </w:t>
            </w:r>
            <w:r w:rsidRPr="00EB46CE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Pr="00EB46CE">
              <w:rPr>
                <w:rFonts w:ascii="Arial" w:hAnsi="Arial" w:cs="Arial"/>
                <w:sz w:val="22"/>
                <w:szCs w:val="22"/>
              </w:rPr>
              <w:t xml:space="preserve"> Tamera J. Corte </w:t>
            </w:r>
            <w:r w:rsidRPr="00EB46CE">
              <w:rPr>
                <w:rFonts w:ascii="Arial" w:hAnsi="Arial" w:cs="Arial"/>
                <w:sz w:val="22"/>
                <w:szCs w:val="22"/>
                <w:vertAlign w:val="superscript"/>
              </w:rPr>
              <w:t>1,2,3</w:t>
            </w:r>
          </w:p>
        </w:tc>
      </w:tr>
      <w:tr w:rsidR="001564A4" w:rsidRPr="00EB46CE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5ED36BF" w14:textId="64D28349" w:rsidR="001564A4" w:rsidRPr="00EB46CE" w:rsidRDefault="00E2211D" w:rsidP="007C2BB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AU" w:eastAsia="en-NZ"/>
              </w:rPr>
            </w:pPr>
            <w:r w:rsidRPr="00EB46C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NZ"/>
              </w:rPr>
              <w:t>1</w:t>
            </w:r>
            <w:r w:rsidRPr="00EB46CE">
              <w:rPr>
                <w:rFonts w:ascii="Arial" w:hAnsi="Arial" w:cs="Arial"/>
                <w:i/>
                <w:iCs/>
                <w:sz w:val="22"/>
                <w:szCs w:val="22"/>
                <w:lang w:val="en-AU" w:eastAsia="en-NZ"/>
              </w:rPr>
              <w:t xml:space="preserve">Central Clinical School, Faculty of Medicine and Health, The University of Sydney, NSW, Australia, </w:t>
            </w:r>
            <w:r w:rsidRPr="00EB46C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NZ"/>
              </w:rPr>
              <w:t>2</w:t>
            </w:r>
            <w:r w:rsidRPr="00EB46CE">
              <w:rPr>
                <w:rFonts w:ascii="Arial" w:hAnsi="Arial" w:cs="Arial"/>
                <w:i/>
                <w:iCs/>
                <w:sz w:val="22"/>
                <w:szCs w:val="22"/>
                <w:lang w:val="en-AU" w:eastAsia="en-NZ"/>
              </w:rPr>
              <w:t xml:space="preserve">Department of Respiratory and Sleep Medicine, Royal Prince Alfred Hospital, NSW, Australia, </w:t>
            </w:r>
            <w:r w:rsidRPr="00EB46C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NZ"/>
              </w:rPr>
              <w:t>3</w:t>
            </w:r>
            <w:r w:rsidRPr="00EB46CE">
              <w:rPr>
                <w:rFonts w:ascii="Arial" w:hAnsi="Arial" w:cs="Arial"/>
                <w:i/>
                <w:iCs/>
                <w:sz w:val="22"/>
                <w:szCs w:val="22"/>
                <w:lang w:val="en-AU" w:eastAsia="en-NZ"/>
              </w:rPr>
              <w:t>National Health and Medical Research Council (NHMRC)</w:t>
            </w:r>
            <w:r w:rsidR="003E2937" w:rsidRPr="00EB46CE">
              <w:rPr>
                <w:rFonts w:ascii="Arial" w:hAnsi="Arial" w:cs="Arial"/>
                <w:i/>
                <w:iCs/>
                <w:sz w:val="22"/>
                <w:szCs w:val="22"/>
                <w:lang w:val="en-AU" w:eastAsia="en-NZ"/>
              </w:rPr>
              <w:t>,</w:t>
            </w:r>
            <w:r w:rsidRPr="00EB46CE">
              <w:rPr>
                <w:rFonts w:ascii="Arial" w:hAnsi="Arial" w:cs="Arial"/>
                <w:i/>
                <w:iCs/>
                <w:sz w:val="22"/>
                <w:szCs w:val="22"/>
                <w:lang w:val="en-AU" w:eastAsia="en-NZ"/>
              </w:rPr>
              <w:t xml:space="preserve"> Centre of Research Excellence in Pulmonary Fibrosis, NSW, Australia, </w:t>
            </w:r>
            <w:r w:rsidRPr="00EB46C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NZ"/>
              </w:rPr>
              <w:t>4</w:t>
            </w:r>
            <w:r w:rsidRPr="00EB46CE">
              <w:rPr>
                <w:rFonts w:ascii="Arial" w:hAnsi="Arial" w:cs="Arial"/>
                <w:i/>
                <w:iCs/>
                <w:sz w:val="22"/>
                <w:szCs w:val="22"/>
                <w:lang w:val="en-AU" w:eastAsia="en-NZ"/>
              </w:rPr>
              <w:t>School of Public Health, Faculty of Medicine and Health, The University of Sydney, NSW, Australia</w:t>
            </w:r>
            <w:r w:rsidR="00EB46CE">
              <w:rPr>
                <w:rFonts w:ascii="Arial" w:hAnsi="Arial" w:cs="Arial"/>
                <w:i/>
                <w:iCs/>
                <w:sz w:val="22"/>
                <w:szCs w:val="22"/>
                <w:lang w:val="en-AU" w:eastAsia="en-NZ"/>
              </w:rPr>
              <w:t>,</w:t>
            </w:r>
            <w:r w:rsidRPr="00EB46CE">
              <w:rPr>
                <w:rFonts w:ascii="Arial" w:hAnsi="Arial" w:cs="Arial"/>
                <w:i/>
                <w:iCs/>
                <w:sz w:val="22"/>
                <w:szCs w:val="22"/>
                <w:lang w:val="en-AU" w:eastAsia="en-NZ"/>
              </w:rPr>
              <w:t xml:space="preserve"> </w:t>
            </w:r>
            <w:r w:rsidRPr="00EB46C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NZ"/>
              </w:rPr>
              <w:t>5</w:t>
            </w:r>
            <w:r w:rsidRPr="00EB46CE">
              <w:rPr>
                <w:rFonts w:ascii="Arial" w:hAnsi="Arial" w:cs="Arial"/>
                <w:i/>
                <w:iCs/>
                <w:sz w:val="22"/>
                <w:szCs w:val="22"/>
                <w:lang w:val="en-AU" w:eastAsia="en-NZ"/>
              </w:rPr>
              <w:t>Public Health Research Analytics and Methods for Evidence (PHRAME), Public Health Unit, Sydney Local Health District, NSW, Australia</w:t>
            </w:r>
          </w:p>
        </w:tc>
      </w:tr>
      <w:tr w:rsidR="001564A4" w:rsidRPr="00EB46CE" w14:paraId="6DAF615A" w14:textId="77777777" w:rsidTr="001158B2">
        <w:trPr>
          <w:trHeight w:hRule="exact" w:val="11059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EB46CE" w:rsidRDefault="001564A4" w:rsidP="000A28E2">
            <w:pPr>
              <w:pStyle w:val="Pa12"/>
              <w:rPr>
                <w:rStyle w:val="A4"/>
              </w:rPr>
            </w:pPr>
            <w:r w:rsidRPr="00EB46CE">
              <w:rPr>
                <w:rStyle w:val="A4"/>
                <w:b/>
                <w:bCs/>
              </w:rPr>
              <w:t xml:space="preserve">Introduction/Aim: </w:t>
            </w:r>
          </w:p>
          <w:p w14:paraId="3D770CF7" w14:textId="67BE7023" w:rsidR="001564A4" w:rsidRPr="00EB46CE" w:rsidRDefault="000267F1" w:rsidP="008C3A6E">
            <w:pPr>
              <w:pStyle w:val="Pa12"/>
              <w:jc w:val="both"/>
              <w:rPr>
                <w:sz w:val="22"/>
                <w:szCs w:val="22"/>
                <w:lang w:val="en-AU"/>
              </w:rPr>
            </w:pPr>
            <w:r w:rsidRPr="00717249">
              <w:rPr>
                <w:color w:val="000000"/>
                <w:sz w:val="22"/>
                <w:szCs w:val="22"/>
              </w:rPr>
              <w:t>A limited number of individual studies have suggested an association between interstitial lung disease (ILD) and outdoor air pollution, both for the development of the disease, and driving disease progression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7C2BBF" w:rsidRPr="00EB46CE">
              <w:rPr>
                <w:sz w:val="22"/>
                <w:szCs w:val="22"/>
                <w:lang w:val="en-AU"/>
              </w:rPr>
              <w:t xml:space="preserve">We </w:t>
            </w:r>
            <w:r>
              <w:rPr>
                <w:sz w:val="22"/>
                <w:szCs w:val="22"/>
                <w:lang w:val="en-AU"/>
              </w:rPr>
              <w:t>performed</w:t>
            </w:r>
            <w:r w:rsidR="007C2BBF" w:rsidRPr="00EB46CE">
              <w:rPr>
                <w:sz w:val="22"/>
                <w:szCs w:val="22"/>
                <w:lang w:val="en-AU"/>
              </w:rPr>
              <w:t xml:space="preserve"> a comprehensive literature review of association</w:t>
            </w:r>
            <w:r>
              <w:rPr>
                <w:sz w:val="22"/>
                <w:szCs w:val="22"/>
                <w:lang w:val="en-AU"/>
              </w:rPr>
              <w:t>s</w:t>
            </w:r>
            <w:r w:rsidR="007C2BBF" w:rsidRPr="00EB46CE">
              <w:rPr>
                <w:sz w:val="22"/>
                <w:szCs w:val="22"/>
                <w:lang w:val="en-AU"/>
              </w:rPr>
              <w:t xml:space="preserve"> between air pollution and ILD, including idiopathic pulmonary fibrosis (IPF)</w:t>
            </w:r>
            <w:r>
              <w:rPr>
                <w:sz w:val="22"/>
                <w:szCs w:val="22"/>
                <w:lang w:val="en-AU"/>
              </w:rPr>
              <w:t>, aiming to summarise the evidence and identify knowledge gaps</w:t>
            </w:r>
            <w:r w:rsidR="007C2BBF" w:rsidRPr="00EB46CE">
              <w:rPr>
                <w:sz w:val="22"/>
                <w:szCs w:val="22"/>
                <w:lang w:val="en-AU"/>
              </w:rPr>
              <w:t xml:space="preserve">. </w:t>
            </w:r>
          </w:p>
          <w:p w14:paraId="4BDB39C3" w14:textId="77777777" w:rsidR="00C45D07" w:rsidRPr="00EB46CE" w:rsidRDefault="00C45D07" w:rsidP="00C45D07">
            <w:pPr>
              <w:pStyle w:val="Default"/>
              <w:rPr>
                <w:sz w:val="22"/>
                <w:szCs w:val="22"/>
                <w:lang w:val="en-AU"/>
              </w:rPr>
            </w:pPr>
          </w:p>
          <w:p w14:paraId="1B39336E" w14:textId="77777777" w:rsidR="001564A4" w:rsidRPr="00EB46CE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EB46CE">
              <w:rPr>
                <w:rStyle w:val="A4"/>
                <w:b/>
                <w:bCs/>
              </w:rPr>
              <w:t xml:space="preserve">Methods: </w:t>
            </w:r>
          </w:p>
          <w:p w14:paraId="26BD967B" w14:textId="58E4682E" w:rsidR="00C45D07" w:rsidRPr="00EB46CE" w:rsidRDefault="007C2BBF" w:rsidP="00C45D07">
            <w:pPr>
              <w:pStyle w:val="Default"/>
              <w:rPr>
                <w:sz w:val="22"/>
                <w:szCs w:val="22"/>
                <w:lang w:val="en-AU"/>
              </w:rPr>
            </w:pPr>
            <w:r w:rsidRPr="00EB46CE">
              <w:rPr>
                <w:sz w:val="22"/>
                <w:szCs w:val="22"/>
                <w:lang w:val="en-AU"/>
              </w:rPr>
              <w:t>We systematically searched six online database</w:t>
            </w:r>
            <w:r w:rsidR="0038776C" w:rsidRPr="00EB46CE">
              <w:rPr>
                <w:sz w:val="22"/>
                <w:szCs w:val="22"/>
                <w:lang w:val="en-AU"/>
              </w:rPr>
              <w:t>s</w:t>
            </w:r>
            <w:r w:rsidRPr="00EB46CE">
              <w:rPr>
                <w:sz w:val="22"/>
                <w:szCs w:val="22"/>
                <w:lang w:val="en-AU"/>
              </w:rPr>
              <w:t>.</w:t>
            </w:r>
            <w:r w:rsidR="000B7E09" w:rsidRPr="00EB46CE">
              <w:rPr>
                <w:sz w:val="22"/>
                <w:szCs w:val="22"/>
                <w:lang w:val="en-AU"/>
              </w:rPr>
              <w:t xml:space="preserve"> </w:t>
            </w:r>
            <w:r w:rsidR="000267F1">
              <w:rPr>
                <w:sz w:val="22"/>
                <w:szCs w:val="22"/>
              </w:rPr>
              <w:t>Eighteen</w:t>
            </w:r>
            <w:r w:rsidR="00EB46CE">
              <w:rPr>
                <w:sz w:val="22"/>
                <w:szCs w:val="22"/>
              </w:rPr>
              <w:t xml:space="preserve"> of 24</w:t>
            </w:r>
            <w:r w:rsidR="00EB46CE" w:rsidRPr="000D5F10">
              <w:rPr>
                <w:sz w:val="22"/>
                <w:szCs w:val="22"/>
              </w:rPr>
              <w:t xml:space="preserve"> </w:t>
            </w:r>
            <w:r w:rsidRPr="00EB46CE">
              <w:rPr>
                <w:sz w:val="22"/>
                <w:szCs w:val="22"/>
              </w:rPr>
              <w:t>s</w:t>
            </w:r>
            <w:r w:rsidRPr="00EB46CE">
              <w:rPr>
                <w:sz w:val="22"/>
                <w:szCs w:val="22"/>
                <w:lang w:val="en-AU"/>
              </w:rPr>
              <w:t xml:space="preserve">elected studies were critically appraised </w:t>
            </w:r>
            <w:r w:rsidR="005C1D53" w:rsidRPr="00EB46CE">
              <w:rPr>
                <w:sz w:val="22"/>
                <w:szCs w:val="22"/>
                <w:lang w:val="en-AU"/>
              </w:rPr>
              <w:t>for</w:t>
            </w:r>
            <w:r w:rsidRPr="00EB46CE">
              <w:rPr>
                <w:sz w:val="22"/>
                <w:szCs w:val="22"/>
                <w:lang w:val="en-AU"/>
              </w:rPr>
              <w:t xml:space="preserve"> risk of bias using the Newcastle-Ottawa Scale (NOS). </w:t>
            </w:r>
            <w:r w:rsidR="00472FE1" w:rsidRPr="00EB46CE">
              <w:rPr>
                <w:sz w:val="22"/>
                <w:szCs w:val="22"/>
                <w:lang w:val="en-AU"/>
              </w:rPr>
              <w:t xml:space="preserve"> </w:t>
            </w:r>
            <w:r w:rsidRPr="00EB46CE">
              <w:rPr>
                <w:sz w:val="22"/>
                <w:szCs w:val="22"/>
                <w:lang w:val="en-AU"/>
              </w:rPr>
              <w:t>Meta-analyses were conducted when at least three or more studies investigated the same pollutant and health outcome, using random effects model</w:t>
            </w:r>
            <w:r w:rsidR="000267F1">
              <w:rPr>
                <w:sz w:val="22"/>
                <w:szCs w:val="22"/>
                <w:lang w:val="en-AU"/>
              </w:rPr>
              <w:t>s</w:t>
            </w:r>
            <w:r w:rsidRPr="00EB46CE">
              <w:rPr>
                <w:sz w:val="22"/>
                <w:szCs w:val="22"/>
                <w:lang w:val="en-AU"/>
              </w:rPr>
              <w:t>.</w:t>
            </w:r>
            <w:r w:rsidR="00302FF4" w:rsidRPr="00EB46CE">
              <w:rPr>
                <w:sz w:val="22"/>
                <w:szCs w:val="22"/>
                <w:lang w:val="en-AU"/>
              </w:rPr>
              <w:t xml:space="preserve"> We assessed the estimated Risk Ratios (RRs) for acute exacerbations (AE)-IPF in relation to exposure to every 10 </w:t>
            </w:r>
            <w:proofErr w:type="spellStart"/>
            <w:r w:rsidR="00302FF4" w:rsidRPr="00EB46CE">
              <w:rPr>
                <w:sz w:val="22"/>
                <w:szCs w:val="22"/>
                <w:lang w:val="en-AU"/>
              </w:rPr>
              <w:t>μg</w:t>
            </w:r>
            <w:proofErr w:type="spellEnd"/>
            <w:r w:rsidR="00302FF4" w:rsidRPr="00EB46CE">
              <w:rPr>
                <w:sz w:val="22"/>
                <w:szCs w:val="22"/>
                <w:lang w:val="en-AU"/>
              </w:rPr>
              <w:t>/m³ increment in air pollutant concentrations, including</w:t>
            </w:r>
            <w:r w:rsidR="000267F1">
              <w:rPr>
                <w:sz w:val="22"/>
                <w:szCs w:val="22"/>
                <w:lang w:val="en-AU"/>
              </w:rPr>
              <w:t xml:space="preserve"> ozone</w:t>
            </w:r>
            <w:r w:rsidR="00302FF4" w:rsidRPr="00EB46CE">
              <w:rPr>
                <w:sz w:val="22"/>
                <w:szCs w:val="22"/>
                <w:lang w:val="en-AU"/>
              </w:rPr>
              <w:t xml:space="preserve"> </w:t>
            </w:r>
            <w:r w:rsidR="000267F1">
              <w:rPr>
                <w:sz w:val="22"/>
                <w:szCs w:val="22"/>
                <w:lang w:val="en-AU"/>
              </w:rPr>
              <w:t>(</w:t>
            </w:r>
            <w:r w:rsidR="00302FF4" w:rsidRPr="00EB46CE">
              <w:rPr>
                <w:sz w:val="22"/>
                <w:szCs w:val="22"/>
                <w:lang w:val="en-AU"/>
              </w:rPr>
              <w:t>O</w:t>
            </w:r>
            <w:r w:rsidR="00302FF4" w:rsidRPr="00EB46CE">
              <w:rPr>
                <w:sz w:val="22"/>
                <w:szCs w:val="22"/>
                <w:vertAlign w:val="subscript"/>
                <w:lang w:val="en-AU"/>
              </w:rPr>
              <w:t>3</w:t>
            </w:r>
            <w:r w:rsidR="000267F1">
              <w:rPr>
                <w:sz w:val="22"/>
                <w:szCs w:val="22"/>
                <w:lang w:val="en-AU"/>
              </w:rPr>
              <w:t>)</w:t>
            </w:r>
            <w:r w:rsidR="00302FF4" w:rsidRPr="00EB46CE">
              <w:rPr>
                <w:sz w:val="22"/>
                <w:szCs w:val="22"/>
                <w:lang w:val="en-AU"/>
              </w:rPr>
              <w:t xml:space="preserve">, </w:t>
            </w:r>
            <w:r w:rsidR="000267F1" w:rsidRPr="00EB46CE">
              <w:rPr>
                <w:sz w:val="22"/>
                <w:szCs w:val="22"/>
                <w:lang w:val="en-AU"/>
              </w:rPr>
              <w:t xml:space="preserve">nitrogen dioxide </w:t>
            </w:r>
            <w:r w:rsidR="000267F1">
              <w:rPr>
                <w:sz w:val="22"/>
                <w:szCs w:val="22"/>
                <w:lang w:val="en-AU"/>
              </w:rPr>
              <w:t>(</w:t>
            </w:r>
            <w:r w:rsidR="00302FF4" w:rsidRPr="00EB46CE">
              <w:rPr>
                <w:sz w:val="22"/>
                <w:szCs w:val="22"/>
                <w:lang w:val="en-AU"/>
              </w:rPr>
              <w:t>NO</w:t>
            </w:r>
            <w:r w:rsidR="00302FF4" w:rsidRPr="00EB46CE">
              <w:rPr>
                <w:sz w:val="22"/>
                <w:szCs w:val="22"/>
                <w:vertAlign w:val="subscript"/>
                <w:lang w:val="en-AU"/>
              </w:rPr>
              <w:t>2</w:t>
            </w:r>
            <w:r w:rsidR="000267F1">
              <w:rPr>
                <w:sz w:val="22"/>
                <w:szCs w:val="22"/>
                <w:lang w:val="en-AU"/>
              </w:rPr>
              <w:t>),</w:t>
            </w:r>
            <w:r w:rsidR="00302FF4" w:rsidRPr="00EB46CE">
              <w:rPr>
                <w:sz w:val="22"/>
                <w:szCs w:val="22"/>
                <w:lang w:val="en-AU"/>
              </w:rPr>
              <w:t xml:space="preserve"> </w:t>
            </w:r>
            <w:r w:rsidR="000267F1">
              <w:rPr>
                <w:sz w:val="22"/>
                <w:szCs w:val="22"/>
                <w:lang w:val="en-GB"/>
              </w:rPr>
              <w:t>p</w:t>
            </w:r>
            <w:r w:rsidR="000267F1" w:rsidRPr="00EB46CE">
              <w:rPr>
                <w:sz w:val="22"/>
                <w:szCs w:val="22"/>
                <w:lang w:val="en-GB"/>
              </w:rPr>
              <w:t>articulate matter with diameter</w:t>
            </w:r>
            <w:r w:rsidR="000267F1">
              <w:rPr>
                <w:sz w:val="22"/>
                <w:szCs w:val="22"/>
                <w:lang w:val="en-GB"/>
              </w:rPr>
              <w:t xml:space="preserve"> </w:t>
            </w:r>
            <w:r w:rsidR="000267F1" w:rsidRPr="000267F1">
              <w:rPr>
                <w:sz w:val="22"/>
                <w:szCs w:val="22"/>
                <w:lang w:val="en-GB"/>
              </w:rPr>
              <w:t>≤</w:t>
            </w:r>
            <w:r w:rsidR="000267F1" w:rsidRPr="00EB46CE">
              <w:rPr>
                <w:sz w:val="22"/>
                <w:szCs w:val="22"/>
                <w:lang w:val="en-GB"/>
              </w:rPr>
              <w:t>10</w:t>
            </w:r>
            <w:r w:rsidR="000267F1" w:rsidRPr="000267F1">
              <w:rPr>
                <w:sz w:val="22"/>
                <w:szCs w:val="22"/>
                <w:lang w:val="en-GB"/>
              </w:rPr>
              <w:t>µm</w:t>
            </w:r>
            <w:r w:rsidR="000267F1" w:rsidRPr="00EB46CE">
              <w:rPr>
                <w:sz w:val="22"/>
                <w:szCs w:val="22"/>
                <w:lang w:val="en-AU"/>
              </w:rPr>
              <w:t xml:space="preserve"> </w:t>
            </w:r>
            <w:r w:rsidR="000267F1">
              <w:rPr>
                <w:sz w:val="22"/>
                <w:szCs w:val="22"/>
                <w:lang w:val="en-AU"/>
              </w:rPr>
              <w:t>(</w:t>
            </w:r>
            <w:r w:rsidR="00302FF4" w:rsidRPr="00EB46CE">
              <w:rPr>
                <w:sz w:val="22"/>
                <w:szCs w:val="22"/>
                <w:lang w:val="en-AU"/>
              </w:rPr>
              <w:t>PM</w:t>
            </w:r>
            <w:r w:rsidR="00302FF4" w:rsidRPr="00EB46CE">
              <w:rPr>
                <w:sz w:val="22"/>
                <w:szCs w:val="22"/>
                <w:vertAlign w:val="subscript"/>
                <w:lang w:val="en-AU"/>
              </w:rPr>
              <w:t>10</w:t>
            </w:r>
            <w:r w:rsidR="000267F1">
              <w:rPr>
                <w:sz w:val="22"/>
                <w:szCs w:val="22"/>
                <w:lang w:val="en-AU"/>
              </w:rPr>
              <w:t>),</w:t>
            </w:r>
            <w:r w:rsidR="00302FF4" w:rsidRPr="00EB46CE">
              <w:rPr>
                <w:sz w:val="22"/>
                <w:szCs w:val="22"/>
                <w:lang w:val="en-AU"/>
              </w:rPr>
              <w:t xml:space="preserve"> and </w:t>
            </w:r>
            <w:r w:rsidR="000267F1" w:rsidRPr="000267F1">
              <w:rPr>
                <w:sz w:val="22"/>
                <w:szCs w:val="22"/>
                <w:lang w:val="en-GB"/>
              </w:rPr>
              <w:t>≤</w:t>
            </w:r>
            <w:r w:rsidR="000267F1" w:rsidRPr="00EB46CE">
              <w:rPr>
                <w:sz w:val="22"/>
                <w:szCs w:val="22"/>
                <w:lang w:val="en-GB"/>
              </w:rPr>
              <w:t>2.5</w:t>
            </w:r>
            <w:r w:rsidR="000267F1" w:rsidRPr="000267F1">
              <w:rPr>
                <w:sz w:val="22"/>
                <w:szCs w:val="22"/>
                <w:lang w:val="en-GB"/>
              </w:rPr>
              <w:t>µm</w:t>
            </w:r>
            <w:r w:rsidR="000267F1" w:rsidRPr="00EB46CE">
              <w:rPr>
                <w:sz w:val="22"/>
                <w:szCs w:val="22"/>
                <w:lang w:val="en-GB"/>
              </w:rPr>
              <w:t xml:space="preserve"> (PM</w:t>
            </w:r>
            <w:r w:rsidR="000267F1" w:rsidRPr="00EB46CE">
              <w:rPr>
                <w:sz w:val="22"/>
                <w:szCs w:val="22"/>
                <w:vertAlign w:val="subscript"/>
                <w:lang w:val="en-GB"/>
              </w:rPr>
              <w:t>2.5</w:t>
            </w:r>
            <w:r w:rsidR="000267F1" w:rsidRPr="00EB46CE">
              <w:rPr>
                <w:sz w:val="22"/>
                <w:szCs w:val="22"/>
                <w:lang w:val="en-GB"/>
              </w:rPr>
              <w:t>)</w:t>
            </w:r>
            <w:r w:rsidR="00717249">
              <w:rPr>
                <w:sz w:val="22"/>
                <w:szCs w:val="22"/>
                <w:lang w:val="en-GB"/>
              </w:rPr>
              <w:t>.</w:t>
            </w:r>
          </w:p>
          <w:p w14:paraId="4EB4296C" w14:textId="77777777" w:rsidR="000267F1" w:rsidRDefault="000267F1" w:rsidP="008C3A6E">
            <w:pPr>
              <w:pStyle w:val="Pa12"/>
              <w:jc w:val="both"/>
              <w:rPr>
                <w:rStyle w:val="A4"/>
                <w:b/>
                <w:bCs/>
              </w:rPr>
            </w:pPr>
          </w:p>
          <w:p w14:paraId="2F3C8A8D" w14:textId="1DD1D7F1" w:rsidR="008C3A6E" w:rsidRPr="00EB46CE" w:rsidRDefault="008C3A6E" w:rsidP="008C3A6E">
            <w:pPr>
              <w:pStyle w:val="Pa12"/>
              <w:jc w:val="both"/>
              <w:rPr>
                <w:sz w:val="22"/>
                <w:szCs w:val="22"/>
                <w:lang w:val="en-GB"/>
              </w:rPr>
            </w:pPr>
            <w:r w:rsidRPr="00EB46CE">
              <w:rPr>
                <w:rStyle w:val="A4"/>
                <w:b/>
                <w:bCs/>
              </w:rPr>
              <w:t xml:space="preserve">Results: </w:t>
            </w:r>
            <w:r w:rsidRPr="00EB46CE">
              <w:rPr>
                <w:sz w:val="22"/>
                <w:szCs w:val="22"/>
              </w:rPr>
              <w:br/>
            </w:r>
            <w:r w:rsidRPr="00EB46CE">
              <w:rPr>
                <w:sz w:val="22"/>
                <w:szCs w:val="22"/>
                <w:lang w:val="en-AU"/>
              </w:rPr>
              <w:t xml:space="preserve">24 observational studies </w:t>
            </w:r>
            <w:r w:rsidR="00C45D07" w:rsidRPr="00EB46CE">
              <w:rPr>
                <w:sz w:val="22"/>
                <w:szCs w:val="22"/>
                <w:lang w:val="en-AU"/>
              </w:rPr>
              <w:t xml:space="preserve">conducted in 13 countries or regions </w:t>
            </w:r>
            <w:r w:rsidRPr="00EB46CE">
              <w:rPr>
                <w:sz w:val="22"/>
                <w:szCs w:val="22"/>
                <w:lang w:val="en-AU"/>
              </w:rPr>
              <w:t>were identified.</w:t>
            </w:r>
            <w:r w:rsidR="000D5F10" w:rsidRPr="00EB46CE">
              <w:rPr>
                <w:sz w:val="22"/>
                <w:szCs w:val="22"/>
                <w:lang w:val="en-AU"/>
              </w:rPr>
              <w:t xml:space="preserve"> Studies </w:t>
            </w:r>
            <w:r w:rsidR="00EB46CE">
              <w:rPr>
                <w:sz w:val="22"/>
                <w:szCs w:val="22"/>
                <w:lang w:val="en-AU"/>
              </w:rPr>
              <w:t>assessed</w:t>
            </w:r>
            <w:r w:rsidR="000D5F10" w:rsidRPr="00EB46CE">
              <w:rPr>
                <w:sz w:val="22"/>
                <w:szCs w:val="22"/>
                <w:lang w:val="en-AU"/>
              </w:rPr>
              <w:t xml:space="preserve"> by NOS </w:t>
            </w:r>
            <w:r w:rsidR="00EB46CE">
              <w:rPr>
                <w:sz w:val="22"/>
                <w:szCs w:val="22"/>
                <w:lang w:val="en-AU"/>
              </w:rPr>
              <w:t>demonstrated</w:t>
            </w:r>
            <w:r w:rsidR="000D5F10" w:rsidRPr="00EB46CE">
              <w:rPr>
                <w:sz w:val="22"/>
                <w:szCs w:val="22"/>
                <w:lang w:val="en-AU"/>
              </w:rPr>
              <w:t xml:space="preserve"> </w:t>
            </w:r>
            <w:r w:rsidR="000D5F10" w:rsidRPr="00EB46CE">
              <w:rPr>
                <w:sz w:val="22"/>
                <w:szCs w:val="22"/>
              </w:rPr>
              <w:t>good to high quality.</w:t>
            </w:r>
            <w:r w:rsidR="00717249" w:rsidRPr="00717249">
              <w:rPr>
                <w:rFonts w:ascii="Times New Roman" w:hAnsi="Times New Roman" w:cs="Times New Roman"/>
                <w:sz w:val="22"/>
                <w:szCs w:val="22"/>
                <w:lang w:val="en-AU" w:eastAsia="en-US"/>
              </w:rPr>
              <w:t xml:space="preserve"> </w:t>
            </w:r>
            <w:r w:rsidR="00717249" w:rsidRPr="00717249">
              <w:rPr>
                <w:sz w:val="22"/>
                <w:szCs w:val="22"/>
                <w:lang w:val="en-AU"/>
              </w:rPr>
              <w:t>Pollutants under investigation encompassed O</w:t>
            </w:r>
            <w:r w:rsidR="00717249" w:rsidRPr="00717249">
              <w:rPr>
                <w:sz w:val="22"/>
                <w:szCs w:val="22"/>
                <w:vertAlign w:val="subscript"/>
                <w:lang w:val="en-AU"/>
              </w:rPr>
              <w:t>3</w:t>
            </w:r>
            <w:r w:rsidR="00717249" w:rsidRPr="00717249">
              <w:rPr>
                <w:sz w:val="22"/>
                <w:szCs w:val="22"/>
                <w:lang w:val="en-AU"/>
              </w:rPr>
              <w:t>, NO</w:t>
            </w:r>
            <w:r w:rsidR="00717249" w:rsidRPr="00717249">
              <w:rPr>
                <w:sz w:val="22"/>
                <w:szCs w:val="22"/>
                <w:vertAlign w:val="subscript"/>
                <w:lang w:val="en-AU"/>
              </w:rPr>
              <w:t>2</w:t>
            </w:r>
            <w:r w:rsidR="00717249" w:rsidRPr="00717249">
              <w:rPr>
                <w:sz w:val="22"/>
                <w:szCs w:val="22"/>
                <w:lang w:val="en-AU"/>
              </w:rPr>
              <w:t>,</w:t>
            </w:r>
            <w:r w:rsidR="00717249">
              <w:rPr>
                <w:sz w:val="22"/>
                <w:szCs w:val="22"/>
                <w:lang w:val="en-AU"/>
              </w:rPr>
              <w:t xml:space="preserve"> </w:t>
            </w:r>
            <w:r w:rsidR="00717249" w:rsidRPr="00717249">
              <w:rPr>
                <w:sz w:val="22"/>
                <w:szCs w:val="22"/>
                <w:lang w:val="en-GB"/>
              </w:rPr>
              <w:t>PM</w:t>
            </w:r>
            <w:r w:rsidR="00717249" w:rsidRPr="00717249">
              <w:rPr>
                <w:sz w:val="22"/>
                <w:szCs w:val="22"/>
                <w:vertAlign w:val="subscript"/>
                <w:lang w:val="en-GB"/>
              </w:rPr>
              <w:t>10</w:t>
            </w:r>
            <w:r w:rsidR="00717249">
              <w:rPr>
                <w:sz w:val="22"/>
                <w:szCs w:val="22"/>
                <w:lang w:val="en-GB"/>
              </w:rPr>
              <w:t xml:space="preserve"> </w:t>
            </w:r>
            <w:r w:rsidR="00717249" w:rsidRPr="00717249">
              <w:rPr>
                <w:sz w:val="22"/>
                <w:szCs w:val="22"/>
                <w:lang w:val="en-GB"/>
              </w:rPr>
              <w:t>and PM</w:t>
            </w:r>
            <w:r w:rsidR="00717249" w:rsidRPr="00717249">
              <w:rPr>
                <w:sz w:val="22"/>
                <w:szCs w:val="22"/>
                <w:vertAlign w:val="subscript"/>
                <w:lang w:val="en-GB"/>
              </w:rPr>
              <w:t>2.5</w:t>
            </w:r>
            <w:r w:rsidR="00717249" w:rsidRPr="00717249">
              <w:rPr>
                <w:sz w:val="22"/>
                <w:szCs w:val="22"/>
                <w:lang w:val="en-GB"/>
              </w:rPr>
              <w:t>,</w:t>
            </w:r>
            <w:r w:rsidR="00717249" w:rsidRPr="00717249">
              <w:rPr>
                <w:sz w:val="22"/>
                <w:szCs w:val="22"/>
                <w:lang w:val="en-AU"/>
              </w:rPr>
              <w:t xml:space="preserve"> </w:t>
            </w:r>
            <w:proofErr w:type="spellStart"/>
            <w:r w:rsidR="00717249" w:rsidRPr="00717249">
              <w:rPr>
                <w:sz w:val="22"/>
                <w:szCs w:val="22"/>
                <w:lang w:val="en-AU"/>
              </w:rPr>
              <w:t>sulfur</w:t>
            </w:r>
            <w:proofErr w:type="spellEnd"/>
            <w:r w:rsidR="00717249" w:rsidRPr="00717249">
              <w:rPr>
                <w:sz w:val="22"/>
                <w:szCs w:val="22"/>
                <w:lang w:val="en-AU"/>
              </w:rPr>
              <w:t xml:space="preserve"> dioxide (SO</w:t>
            </w:r>
            <w:r w:rsidR="00717249" w:rsidRPr="00717249">
              <w:rPr>
                <w:sz w:val="22"/>
                <w:szCs w:val="22"/>
                <w:vertAlign w:val="subscript"/>
                <w:lang w:val="en-AU"/>
              </w:rPr>
              <w:t>2</w:t>
            </w:r>
            <w:r w:rsidR="00717249" w:rsidRPr="00717249">
              <w:rPr>
                <w:sz w:val="22"/>
                <w:szCs w:val="22"/>
                <w:lang w:val="en-AU"/>
              </w:rPr>
              <w:t xml:space="preserve">), carbon monoxide (CO), nitric oxide (NO) and nitrogen oxides (NOx). </w:t>
            </w:r>
            <w:r w:rsidRPr="00EB46CE">
              <w:rPr>
                <w:sz w:val="22"/>
                <w:szCs w:val="22"/>
                <w:lang w:val="en-AU"/>
              </w:rPr>
              <w:t>The meta-analysis revealed a significant association between the increased risk of AE-IPF in PM</w:t>
            </w:r>
            <w:r w:rsidRPr="00EB46CE">
              <w:rPr>
                <w:sz w:val="22"/>
                <w:szCs w:val="22"/>
                <w:vertAlign w:val="subscript"/>
                <w:lang w:val="en-AU"/>
              </w:rPr>
              <w:t>2.5</w:t>
            </w:r>
            <w:r w:rsidRPr="00EB46CE">
              <w:rPr>
                <w:sz w:val="22"/>
                <w:szCs w:val="22"/>
                <w:lang w:val="en-AU"/>
              </w:rPr>
              <w:t>, yielding RR 1.94 (95% CI 1.30-2.90; p=0.001).</w:t>
            </w:r>
            <w:r w:rsidR="000D5F10" w:rsidRPr="00EB46CE">
              <w:rPr>
                <w:rFonts w:eastAsiaTheme="minorHAnsi"/>
                <w:kern w:val="2"/>
                <w:sz w:val="22"/>
                <w:szCs w:val="22"/>
                <w:lang w:val="en-AU" w:eastAsia="en-US"/>
                <w14:ligatures w14:val="standardContextual"/>
              </w:rPr>
              <w:t xml:space="preserve"> </w:t>
            </w:r>
            <w:r w:rsidR="000D5F10" w:rsidRPr="00EB46CE">
              <w:rPr>
                <w:sz w:val="22"/>
                <w:szCs w:val="22"/>
                <w:lang w:val="en-AU"/>
              </w:rPr>
              <w:t xml:space="preserve">However, the link between </w:t>
            </w:r>
            <w:bookmarkStart w:id="0" w:name="_Hlk145789465"/>
            <w:r w:rsidR="000D5F10" w:rsidRPr="00EB46CE">
              <w:rPr>
                <w:sz w:val="22"/>
                <w:szCs w:val="22"/>
                <w:lang w:val="en-AU"/>
              </w:rPr>
              <w:t>O</w:t>
            </w:r>
            <w:r w:rsidR="000D5F10" w:rsidRPr="00EB46CE">
              <w:rPr>
                <w:sz w:val="22"/>
                <w:szCs w:val="22"/>
                <w:vertAlign w:val="subscript"/>
                <w:lang w:val="en-AU"/>
              </w:rPr>
              <w:t xml:space="preserve">3, </w:t>
            </w:r>
            <w:r w:rsidR="000D5F10" w:rsidRPr="00EB46CE">
              <w:rPr>
                <w:sz w:val="22"/>
                <w:szCs w:val="22"/>
                <w:lang w:val="en-AU"/>
              </w:rPr>
              <w:t>NO</w:t>
            </w:r>
            <w:r w:rsidR="000D5F10" w:rsidRPr="00EB46CE">
              <w:rPr>
                <w:sz w:val="22"/>
                <w:szCs w:val="22"/>
                <w:vertAlign w:val="subscript"/>
                <w:lang w:val="en-AU"/>
              </w:rPr>
              <w:t>2</w:t>
            </w:r>
            <w:r w:rsidR="000D5F10" w:rsidRPr="00EB46CE">
              <w:rPr>
                <w:sz w:val="22"/>
                <w:szCs w:val="22"/>
                <w:lang w:val="en-AU"/>
              </w:rPr>
              <w:t xml:space="preserve"> and PM</w:t>
            </w:r>
            <w:r w:rsidR="000D5F10" w:rsidRPr="00EB46CE">
              <w:rPr>
                <w:sz w:val="22"/>
                <w:szCs w:val="22"/>
                <w:vertAlign w:val="subscript"/>
                <w:lang w:val="en-AU"/>
              </w:rPr>
              <w:t>10</w:t>
            </w:r>
            <w:r w:rsidR="000D5F10" w:rsidRPr="00EB46CE">
              <w:rPr>
                <w:sz w:val="22"/>
                <w:szCs w:val="22"/>
                <w:lang w:val="en-AU"/>
              </w:rPr>
              <w:t xml:space="preserve"> and the risk of AE-IPF remained uncertain</w:t>
            </w:r>
            <w:bookmarkEnd w:id="0"/>
            <w:r w:rsidR="00EB46CE">
              <w:rPr>
                <w:sz w:val="22"/>
                <w:szCs w:val="22"/>
                <w:lang w:val="en-AU"/>
              </w:rPr>
              <w:t xml:space="preserve"> </w:t>
            </w:r>
            <w:r w:rsidR="00302FF4" w:rsidRPr="00EB46CE">
              <w:rPr>
                <w:sz w:val="22"/>
                <w:szCs w:val="22"/>
                <w:lang w:val="en-AU"/>
              </w:rPr>
              <w:t xml:space="preserve">(Fig1). </w:t>
            </w:r>
            <w:r w:rsidRPr="00EB46CE">
              <w:rPr>
                <w:sz w:val="22"/>
                <w:szCs w:val="22"/>
                <w:lang w:val="en-AU"/>
              </w:rPr>
              <w:t xml:space="preserve"> Overall</w:t>
            </w:r>
            <w:r w:rsidRPr="00EB46CE">
              <w:rPr>
                <w:color w:val="374151"/>
                <w:sz w:val="22"/>
                <w:szCs w:val="22"/>
                <w:shd w:val="clear" w:color="auto" w:fill="F7F7F8"/>
                <w:lang w:val="en-GB" w:eastAsia="en-US"/>
              </w:rPr>
              <w:t xml:space="preserve">, </w:t>
            </w:r>
            <w:r w:rsidR="00375869">
              <w:rPr>
                <w:color w:val="374151"/>
                <w:sz w:val="22"/>
                <w:szCs w:val="22"/>
                <w:shd w:val="clear" w:color="auto" w:fill="F7F7F8"/>
                <w:lang w:val="en-GB" w:eastAsia="en-US"/>
              </w:rPr>
              <w:t>f</w:t>
            </w:r>
            <w:proofErr w:type="spellStart"/>
            <w:r w:rsidR="000D5F10" w:rsidRPr="00EB46CE">
              <w:rPr>
                <w:sz w:val="22"/>
                <w:szCs w:val="22"/>
              </w:rPr>
              <w:t>indings</w:t>
            </w:r>
            <w:proofErr w:type="spellEnd"/>
            <w:r w:rsidR="000D5F10" w:rsidRPr="00EB46CE">
              <w:rPr>
                <w:sz w:val="22"/>
                <w:szCs w:val="22"/>
              </w:rPr>
              <w:t xml:space="preserve"> across all the included studies suggest that increased exposure to air pollutants may be linked to a range of health issues in individuals with ILDs. </w:t>
            </w:r>
          </w:p>
          <w:p w14:paraId="63B617A8" w14:textId="77777777" w:rsidR="00C45D07" w:rsidRPr="00EB46CE" w:rsidRDefault="00C45D07" w:rsidP="00C45D07">
            <w:pPr>
              <w:pStyle w:val="Default"/>
              <w:rPr>
                <w:sz w:val="22"/>
                <w:szCs w:val="22"/>
                <w:lang w:val="en-GB"/>
              </w:rPr>
            </w:pPr>
          </w:p>
          <w:p w14:paraId="409C0C94" w14:textId="77777777" w:rsidR="008C3A6E" w:rsidRPr="00EB46CE" w:rsidRDefault="008C3A6E" w:rsidP="008C3A6E">
            <w:pPr>
              <w:pStyle w:val="Pa12"/>
              <w:rPr>
                <w:rStyle w:val="A4"/>
                <w:b/>
                <w:bCs/>
              </w:rPr>
            </w:pPr>
            <w:r w:rsidRPr="00EB46CE">
              <w:rPr>
                <w:rStyle w:val="A4"/>
                <w:b/>
                <w:bCs/>
              </w:rPr>
              <w:t xml:space="preserve">Conclusion: </w:t>
            </w:r>
          </w:p>
          <w:p w14:paraId="0C37EE5C" w14:textId="4CC4F7DF" w:rsidR="00EA7AFB" w:rsidRPr="00EB46CE" w:rsidRDefault="008C3A6E" w:rsidP="00E6089D">
            <w:pPr>
              <w:pStyle w:val="Default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EB46CE">
              <w:rPr>
                <w:sz w:val="22"/>
                <w:szCs w:val="22"/>
                <w:lang w:val="en-AU"/>
              </w:rPr>
              <w:t xml:space="preserve">A scarcity of available studies </w:t>
            </w:r>
            <w:r w:rsidR="007E6A13" w:rsidRPr="00EB46CE">
              <w:rPr>
                <w:sz w:val="22"/>
                <w:szCs w:val="22"/>
                <w:lang w:val="en-GB"/>
              </w:rPr>
              <w:t>on the</w:t>
            </w:r>
            <w:r w:rsidR="000267F1">
              <w:rPr>
                <w:sz w:val="22"/>
                <w:szCs w:val="22"/>
                <w:lang w:val="en-GB"/>
              </w:rPr>
              <w:t xml:space="preserve"> relationship between</w:t>
            </w:r>
            <w:r w:rsidR="007E6A13" w:rsidRPr="00EB46CE">
              <w:rPr>
                <w:sz w:val="22"/>
                <w:szCs w:val="22"/>
                <w:lang w:val="en-GB"/>
              </w:rPr>
              <w:t xml:space="preserve"> air pollutants and ILD underscores the imperative for further comprehensive research</w:t>
            </w:r>
            <w:r w:rsidR="007E6A13" w:rsidRPr="00EB46CE">
              <w:rPr>
                <w:sz w:val="22"/>
                <w:szCs w:val="22"/>
                <w:lang w:val="en-AU"/>
              </w:rPr>
              <w:t xml:space="preserve"> </w:t>
            </w:r>
            <w:r w:rsidRPr="00EB46CE">
              <w:rPr>
                <w:sz w:val="22"/>
                <w:szCs w:val="22"/>
                <w:lang w:val="en-AU"/>
              </w:rPr>
              <w:t>in this domain. The available data suggest that reducing levels of PM</w:t>
            </w:r>
            <w:r w:rsidRPr="00EB46CE">
              <w:rPr>
                <w:sz w:val="22"/>
                <w:szCs w:val="22"/>
                <w:vertAlign w:val="subscript"/>
                <w:lang w:val="en-AU"/>
              </w:rPr>
              <w:t>2.5</w:t>
            </w:r>
            <w:r w:rsidRPr="00EB46CE">
              <w:rPr>
                <w:sz w:val="22"/>
                <w:szCs w:val="22"/>
                <w:lang w:val="en-AU"/>
              </w:rPr>
              <w:t xml:space="preserve"> in the atmosphere could potentially </w:t>
            </w:r>
            <w:r w:rsidR="00EA7AFB" w:rsidRPr="00EB46CE">
              <w:rPr>
                <w:color w:val="auto"/>
                <w:sz w:val="22"/>
                <w:szCs w:val="22"/>
                <w:lang w:val="en-GB"/>
              </w:rPr>
              <w:t>reduce AE frequency and severity in ILD patients</w:t>
            </w:r>
            <w:r w:rsidR="00C45D07" w:rsidRPr="00EB46CE">
              <w:rPr>
                <w:color w:val="auto"/>
                <w:sz w:val="22"/>
                <w:szCs w:val="22"/>
                <w:lang w:val="en-GB"/>
              </w:rPr>
              <w:t>.</w:t>
            </w:r>
          </w:p>
          <w:p w14:paraId="00A444DE" w14:textId="77777777" w:rsidR="00C45D07" w:rsidRPr="00EB46CE" w:rsidRDefault="00C45D07" w:rsidP="00E6089D">
            <w:pPr>
              <w:pStyle w:val="Default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  <w:p w14:paraId="1993F80D" w14:textId="52F49654" w:rsidR="008C3A6E" w:rsidRPr="00EB46CE" w:rsidRDefault="007C2BBF" w:rsidP="00E6089D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B46CE">
              <w:rPr>
                <w:b/>
                <w:bCs/>
                <w:sz w:val="22"/>
                <w:szCs w:val="22"/>
              </w:rPr>
              <w:t>Grant Support</w:t>
            </w:r>
            <w:r w:rsidR="008C3A6E" w:rsidRPr="00EB46CE">
              <w:rPr>
                <w:b/>
                <w:bCs/>
                <w:sz w:val="22"/>
                <w:szCs w:val="22"/>
              </w:rPr>
              <w:t>:</w:t>
            </w:r>
          </w:p>
          <w:p w14:paraId="2559B52F" w14:textId="66CB1FE8" w:rsidR="007C2BBF" w:rsidRPr="00EB46CE" w:rsidRDefault="00E6089D" w:rsidP="00E6089D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B46CE">
              <w:rPr>
                <w:sz w:val="22"/>
                <w:szCs w:val="22"/>
                <w:lang w:val="en-GB"/>
              </w:rPr>
              <w:t xml:space="preserve">This work was funded by the Centre of Research Excellence in Pulmonary Fibrosis, which is funded by the NHMRC (GNT1116371 and GNT2015613), Lung Foundation Australia, anonymous </w:t>
            </w:r>
            <w:proofErr w:type="gramStart"/>
            <w:r w:rsidRPr="00EB46CE">
              <w:rPr>
                <w:sz w:val="22"/>
                <w:szCs w:val="22"/>
                <w:lang w:val="en-GB"/>
              </w:rPr>
              <w:t>philanthropy</w:t>
            </w:r>
            <w:proofErr w:type="gramEnd"/>
            <w:r w:rsidRPr="00EB46CE">
              <w:rPr>
                <w:sz w:val="22"/>
                <w:szCs w:val="22"/>
                <w:lang w:val="en-GB"/>
              </w:rPr>
              <w:t xml:space="preserve"> and Foundation partner Boehringer Ingelheim.</w:t>
            </w:r>
          </w:p>
          <w:p w14:paraId="7FC3E603" w14:textId="739CBCA6" w:rsidR="00EA7E5B" w:rsidRPr="00EB46CE" w:rsidRDefault="00EA7E5B" w:rsidP="007C2BB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Key Words: </w:t>
            </w:r>
            <w:r w:rsidRPr="00EA7E5B">
              <w:rPr>
                <w:sz w:val="22"/>
                <w:szCs w:val="22"/>
              </w:rPr>
              <w:t>air pollution, interstitial lung disease</w:t>
            </w:r>
            <w:r>
              <w:rPr>
                <w:sz w:val="22"/>
                <w:szCs w:val="22"/>
              </w:rPr>
              <w:t>, PM</w:t>
            </w:r>
            <w:r w:rsidRPr="00EA7E5B">
              <w:rPr>
                <w:sz w:val="22"/>
                <w:szCs w:val="22"/>
                <w:vertAlign w:val="subscript"/>
              </w:rPr>
              <w:t>2.5</w:t>
            </w:r>
          </w:p>
          <w:p w14:paraId="4E06B324" w14:textId="652132DA" w:rsidR="00EB46CE" w:rsidRDefault="007C2BBF" w:rsidP="008C3A6E">
            <w:pPr>
              <w:pStyle w:val="Default"/>
              <w:rPr>
                <w:sz w:val="22"/>
                <w:szCs w:val="22"/>
              </w:rPr>
            </w:pPr>
            <w:r w:rsidRPr="00A54EC3">
              <w:rPr>
                <w:b/>
                <w:bCs/>
                <w:sz w:val="22"/>
                <w:szCs w:val="22"/>
              </w:rPr>
              <w:t>Word count</w:t>
            </w:r>
            <w:r w:rsidRPr="00EB46CE">
              <w:rPr>
                <w:sz w:val="22"/>
                <w:szCs w:val="22"/>
              </w:rPr>
              <w:t xml:space="preserve">: </w:t>
            </w:r>
            <w:r w:rsidR="007E6A13" w:rsidRPr="00EB46CE">
              <w:rPr>
                <w:sz w:val="22"/>
                <w:szCs w:val="22"/>
              </w:rPr>
              <w:t>29</w:t>
            </w:r>
            <w:r w:rsidR="00EA7E5B">
              <w:rPr>
                <w:sz w:val="22"/>
                <w:szCs w:val="22"/>
              </w:rPr>
              <w:t>7</w:t>
            </w:r>
          </w:p>
          <w:p w14:paraId="7F8381F0" w14:textId="7B6CD64B" w:rsidR="001564A4" w:rsidRPr="00EB46CE" w:rsidRDefault="001158B2" w:rsidP="008C3A6E">
            <w:pPr>
              <w:pStyle w:val="Default"/>
              <w:rPr>
                <w:sz w:val="22"/>
                <w:szCs w:val="22"/>
              </w:rPr>
            </w:pPr>
            <w:r w:rsidRPr="00A54EC3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92B197" wp14:editId="049158F8">
                      <wp:simplePos x="0" y="0"/>
                      <wp:positionH relativeFrom="column">
                        <wp:posOffset>4145915</wp:posOffset>
                      </wp:positionH>
                      <wp:positionV relativeFrom="paragraph">
                        <wp:posOffset>365125</wp:posOffset>
                      </wp:positionV>
                      <wp:extent cx="177800" cy="154940"/>
                      <wp:effectExtent l="0" t="0" r="12700" b="16510"/>
                      <wp:wrapNone/>
                      <wp:docPr id="4" name="Fram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5494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04F36" id="Frame 4" o:spid="_x0000_s1026" style="position:absolute;margin-left:326.45pt;margin-top:28.75pt;width:14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" path="m,l177800,r,154940l,154940,,xm19368,19368r,116205l158433,135573r,-116205l19368,19368xe" fillcolor="#4472c4 [3204]" strokecolor="#1f3763 [1604]" strokeweight="1pt">
                      <v:stroke joinstyle="miter"/>
                      <v:path arrowok="t" o:connecttype="custom" o:connectlocs="0,0;177800,0;177800,154940;0,154940;0,0;19368,19368;19368,135573;158433,135573;158433,19368;19368,19368" o:connectangles="0,0,0,0,0,0,0,0,0,0"/>
                    </v:shape>
                  </w:pict>
                </mc:Fallback>
              </mc:AlternateContent>
            </w:r>
            <w:r w:rsidRPr="00EB46C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ED78B0" wp14:editId="15256501">
                      <wp:simplePos x="0" y="0"/>
                      <wp:positionH relativeFrom="column">
                        <wp:posOffset>2698115</wp:posOffset>
                      </wp:positionH>
                      <wp:positionV relativeFrom="page">
                        <wp:posOffset>6794500</wp:posOffset>
                      </wp:positionV>
                      <wp:extent cx="161290" cy="161290"/>
                      <wp:effectExtent l="0" t="0" r="10160" b="10160"/>
                      <wp:wrapNone/>
                      <wp:docPr id="3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C47A4" w14:textId="6737B492" w:rsidR="00121954" w:rsidRPr="00121954" w:rsidRDefault="00121954" w:rsidP="00121954">
                                  <w:pPr>
                                    <w:jc w:val="center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D78B0" id="Frame 3" o:spid="_x0000_s1026" style="position:absolute;margin-left:212.45pt;margin-top:535pt;width:12.7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61290,1612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" adj="-11796480,,5400" path="m,l161290,r,161290l,161290,,xm20161,20161r,120968l141129,141129r,-120968l20161,20161xe" fillcolor="#4472c4 [3204]" strokecolor="#1f3763 [1604]" strokeweight="1pt">
                      <v:stroke joinstyle="miter"/>
                      <v:formulas/>
                      <v:path arrowok="t" o:connecttype="custom" o:connectlocs="0,0;161290,0;161290,161290;0,161290;0,0;20161,20161;20161,141129;141129,141129;141129,20161;20161,20161" o:connectangles="0,0,0,0,0,0,0,0,0,0" textboxrect="0,0,161290,161290"/>
                      <v:textbox>
                        <w:txbxContent>
                          <w:p w14:paraId="7F0C47A4" w14:textId="6737B492" w:rsidR="00121954" w:rsidRPr="00121954" w:rsidRDefault="00121954" w:rsidP="00121954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xx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B46C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C69FCD" wp14:editId="6E2DCC6D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361950</wp:posOffset>
                      </wp:positionV>
                      <wp:extent cx="161365" cy="161364"/>
                      <wp:effectExtent l="0" t="0" r="16510" b="16510"/>
                      <wp:wrapNone/>
                      <wp:docPr id="1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61364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70938C" id="Frame 1" o:spid="_x0000_s1026" style="position:absolute;margin-left:37.55pt;margin-top:28.5pt;width:12.7pt;height:1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365,16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" path="m,l161365,r,161364l,161364,,xm20171,20171r,121023l141195,141194r,-121023l20171,20171xe" fillcolor="#4472c4 [3204]" strokecolor="#1f3763 [1604]" strokeweight="1pt">
                      <v:stroke joinstyle="miter"/>
                      <v:path arrowok="t" o:connecttype="custom" o:connectlocs="0,0;161365,0;161365,161364;0,161364;0,0;20171,20171;20171,141194;141195,141194;141195,20171;20171,20171" o:connectangles="0,0,0,0,0,0,0,0,0,0"/>
                    </v:shape>
                  </w:pict>
                </mc:Fallback>
              </mc:AlternateContent>
            </w:r>
            <w:r w:rsidR="0092425C" w:rsidRPr="00EB46CE">
              <w:rPr>
                <w:sz w:val="22"/>
                <w:szCs w:val="22"/>
              </w:rPr>
              <w:t>Please nominate:</w:t>
            </w:r>
            <w:r w:rsidR="001564A4" w:rsidRPr="00EB46CE">
              <w:rPr>
                <w:sz w:val="22"/>
                <w:szCs w:val="22"/>
              </w:rPr>
              <w:br/>
            </w:r>
            <w:r w:rsidR="0092425C" w:rsidRPr="00EB46CE">
              <w:rPr>
                <w:sz w:val="22"/>
                <w:szCs w:val="22"/>
              </w:rPr>
              <w:t xml:space="preserve">Poster                     Oral                  Either  </w:t>
            </w:r>
            <w:r w:rsidR="0012640F" w:rsidRPr="00EB46CE">
              <w:rPr>
                <w:sz w:val="22"/>
                <w:szCs w:val="22"/>
              </w:rPr>
              <w:t xml:space="preserve">         Tracey Robinson</w:t>
            </w:r>
            <w:r w:rsidR="001564A4" w:rsidRPr="00EB46CE">
              <w:rPr>
                <w:sz w:val="22"/>
                <w:szCs w:val="22"/>
              </w:rPr>
              <w:br/>
            </w:r>
            <w:r w:rsidR="001564A4" w:rsidRPr="00EB46CE">
              <w:rPr>
                <w:sz w:val="22"/>
                <w:szCs w:val="22"/>
              </w:rPr>
              <w:br/>
            </w:r>
            <w:r w:rsidR="000D633E" w:rsidRPr="00EB46CE">
              <w:rPr>
                <w:sz w:val="22"/>
                <w:szCs w:val="22"/>
              </w:rPr>
              <w:t xml:space="preserve">                                     </w:t>
            </w:r>
            <w:r>
              <w:rPr>
                <w:sz w:val="22"/>
                <w:szCs w:val="22"/>
              </w:rPr>
              <w:t xml:space="preserve">  </w:t>
            </w:r>
            <w:r w:rsidR="000D633E" w:rsidRPr="00EB46CE">
              <w:rPr>
                <w:b/>
                <w:bCs/>
                <w:color w:val="0070C0"/>
                <w:sz w:val="22"/>
                <w:szCs w:val="22"/>
              </w:rPr>
              <w:sym w:font="Wingdings 2" w:char="F054"/>
            </w:r>
            <w:r w:rsidR="001564A4" w:rsidRPr="00EB46CE">
              <w:rPr>
                <w:sz w:val="22"/>
                <w:szCs w:val="22"/>
              </w:rPr>
              <w:br/>
            </w:r>
            <w:r w:rsidR="001564A4" w:rsidRPr="00EB46CE">
              <w:rPr>
                <w:sz w:val="22"/>
                <w:szCs w:val="22"/>
              </w:rPr>
              <w:br/>
            </w:r>
          </w:p>
          <w:p w14:paraId="731CD908" w14:textId="77777777" w:rsidR="001564A4" w:rsidRPr="00EB46CE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EB46CE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EB46CE" w:rsidRDefault="001564A4" w:rsidP="000A28E2">
            <w:pPr>
              <w:pStyle w:val="Pa12"/>
              <w:rPr>
                <w:rStyle w:val="A4"/>
                <w:bCs/>
              </w:rPr>
            </w:pPr>
            <w:r w:rsidRPr="00EB46CE">
              <w:rPr>
                <w:rStyle w:val="A4"/>
                <w:bCs/>
              </w:rPr>
              <w:br/>
            </w:r>
            <w:r w:rsidRPr="00EB46CE">
              <w:rPr>
                <w:rStyle w:val="A4"/>
                <w:bCs/>
              </w:rPr>
              <w:br/>
            </w:r>
            <w:r w:rsidRPr="00EB46CE">
              <w:rPr>
                <w:rStyle w:val="A4"/>
                <w:bCs/>
              </w:rPr>
              <w:br/>
            </w:r>
            <w:r w:rsidRPr="00EB46CE">
              <w:rPr>
                <w:rStyle w:val="A4"/>
                <w:bCs/>
              </w:rPr>
              <w:br/>
            </w:r>
            <w:r w:rsidRPr="00EB46CE">
              <w:rPr>
                <w:rStyle w:val="A4"/>
                <w:bCs/>
              </w:rPr>
              <w:br/>
            </w:r>
            <w:r w:rsidRPr="00EB46CE">
              <w:rPr>
                <w:rStyle w:val="A4"/>
                <w:bCs/>
              </w:rPr>
              <w:br/>
            </w:r>
            <w:r w:rsidRPr="00EB46CE">
              <w:rPr>
                <w:rStyle w:val="A4"/>
                <w:bCs/>
              </w:rPr>
              <w:br/>
            </w:r>
            <w:r w:rsidRPr="00EB46CE">
              <w:rPr>
                <w:rStyle w:val="A4"/>
                <w:bCs/>
              </w:rPr>
              <w:br/>
            </w:r>
            <w:r w:rsidRPr="00EB46CE">
              <w:rPr>
                <w:rStyle w:val="A4"/>
                <w:bCs/>
              </w:rPr>
              <w:br/>
            </w:r>
            <w:r w:rsidRPr="00EB46CE">
              <w:rPr>
                <w:rStyle w:val="A4"/>
                <w:bCs/>
              </w:rPr>
              <w:br/>
            </w:r>
            <w:r w:rsidRPr="00EB46CE">
              <w:rPr>
                <w:rStyle w:val="A4"/>
                <w:bCs/>
              </w:rPr>
              <w:br/>
            </w:r>
          </w:p>
          <w:p w14:paraId="14DC37E4" w14:textId="77777777" w:rsidR="001564A4" w:rsidRPr="00EB46CE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EB46CE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  <w:r w:rsidRPr="00EB46CE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5D45BDE0" w14:textId="77777777" w:rsidR="001158B2" w:rsidRPr="001158B2" w:rsidRDefault="001158B2" w:rsidP="001158B2">
      <w:pPr>
        <w:rPr>
          <w:rFonts w:ascii="Arial" w:hAnsi="Arial" w:cs="Arial"/>
          <w:sz w:val="22"/>
          <w:szCs w:val="22"/>
        </w:rPr>
      </w:pPr>
    </w:p>
    <w:sectPr w:rsidR="001158B2" w:rsidRPr="00115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11E4F"/>
    <w:rsid w:val="000267F1"/>
    <w:rsid w:val="000B7E09"/>
    <w:rsid w:val="000D5F10"/>
    <w:rsid w:val="000D633E"/>
    <w:rsid w:val="001158B2"/>
    <w:rsid w:val="00121954"/>
    <w:rsid w:val="0012640F"/>
    <w:rsid w:val="001564A4"/>
    <w:rsid w:val="00164CEF"/>
    <w:rsid w:val="00174F4D"/>
    <w:rsid w:val="00240AE2"/>
    <w:rsid w:val="00260924"/>
    <w:rsid w:val="002B43E4"/>
    <w:rsid w:val="00302FF4"/>
    <w:rsid w:val="00315E94"/>
    <w:rsid w:val="0032181F"/>
    <w:rsid w:val="00375869"/>
    <w:rsid w:val="0038776C"/>
    <w:rsid w:val="003E2937"/>
    <w:rsid w:val="003F20B7"/>
    <w:rsid w:val="00463505"/>
    <w:rsid w:val="00472FE1"/>
    <w:rsid w:val="004E5268"/>
    <w:rsid w:val="004E7435"/>
    <w:rsid w:val="005125A1"/>
    <w:rsid w:val="0051574E"/>
    <w:rsid w:val="00562060"/>
    <w:rsid w:val="005C1D53"/>
    <w:rsid w:val="005E7B0F"/>
    <w:rsid w:val="00700D2B"/>
    <w:rsid w:val="00717249"/>
    <w:rsid w:val="007C2BBF"/>
    <w:rsid w:val="007C5A64"/>
    <w:rsid w:val="007E6A13"/>
    <w:rsid w:val="008803FA"/>
    <w:rsid w:val="008C3A6E"/>
    <w:rsid w:val="008E10DD"/>
    <w:rsid w:val="0092425C"/>
    <w:rsid w:val="00963672"/>
    <w:rsid w:val="009D0F92"/>
    <w:rsid w:val="00A54EC3"/>
    <w:rsid w:val="00AB1163"/>
    <w:rsid w:val="00B12E32"/>
    <w:rsid w:val="00B50943"/>
    <w:rsid w:val="00B902DD"/>
    <w:rsid w:val="00BC48D2"/>
    <w:rsid w:val="00C20A17"/>
    <w:rsid w:val="00C45D07"/>
    <w:rsid w:val="00C94537"/>
    <w:rsid w:val="00CA578E"/>
    <w:rsid w:val="00CC6B46"/>
    <w:rsid w:val="00D25D61"/>
    <w:rsid w:val="00E00485"/>
    <w:rsid w:val="00E0700F"/>
    <w:rsid w:val="00E2211D"/>
    <w:rsid w:val="00E44DFA"/>
    <w:rsid w:val="00E6089D"/>
    <w:rsid w:val="00E76770"/>
    <w:rsid w:val="00EA09B6"/>
    <w:rsid w:val="00EA7AFB"/>
    <w:rsid w:val="00EA7E5B"/>
    <w:rsid w:val="00EB46CE"/>
    <w:rsid w:val="00F6293E"/>
    <w:rsid w:val="00F647F4"/>
    <w:rsid w:val="00FC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C2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BBF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AU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BBF"/>
    <w:rPr>
      <w:rFonts w:asciiTheme="minorHAnsi" w:hAnsiTheme="minorHAnsi"/>
      <w:kern w:val="2"/>
      <w:lang w:val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3E4"/>
    <w:pPr>
      <w:spacing w:after="0"/>
    </w:pPr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3E4"/>
    <w:rPr>
      <w:rFonts w:ascii="Times New Roman" w:eastAsia="Times New Roman" w:hAnsi="Times New Roman" w:cs="Times New Roman"/>
      <w:b/>
      <w:bCs/>
      <w:kern w:val="2"/>
      <w:lang w:val="en-GB"/>
      <w14:ligatures w14:val="standardContextual"/>
    </w:rPr>
  </w:style>
  <w:style w:type="paragraph" w:styleId="Revision">
    <w:name w:val="Revision"/>
    <w:hidden/>
    <w:uiPriority w:val="99"/>
    <w:semiHidden/>
    <w:rsid w:val="000B7E0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0A282-472B-4AA9-8EC8-DBB1DD2876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4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Qing Lan</cp:lastModifiedBy>
  <cp:revision>9</cp:revision>
  <dcterms:created xsi:type="dcterms:W3CDTF">2023-10-17T11:10:00Z</dcterms:created>
  <dcterms:modified xsi:type="dcterms:W3CDTF">2023-10-18T01:27:00Z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