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8E40CA" w:rsidRDefault="00EB1B31">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8E40CA" w14:paraId="54686958" w14:textId="77777777" w:rsidTr="59478843">
        <w:tc>
          <w:tcPr>
            <w:tcW w:w="8640" w:type="dxa"/>
            <w:shd w:val="clear" w:color="auto" w:fill="F2F2F2" w:themeFill="background1" w:themeFillShade="F2"/>
          </w:tcPr>
          <w:p w14:paraId="0033B15B" w14:textId="2693565A" w:rsidR="00C8423A" w:rsidRPr="009C3A87" w:rsidRDefault="009C3A87" w:rsidP="00706DED">
            <w:pPr>
              <w:jc w:val="both"/>
              <w:rPr>
                <w:rFonts w:ascii="Arial" w:hAnsi="Arial" w:cs="Arial"/>
                <w:i/>
                <w:iCs/>
                <w:sz w:val="22"/>
                <w:szCs w:val="22"/>
              </w:rPr>
            </w:pPr>
            <w:r w:rsidRPr="009C3A87">
              <w:rPr>
                <w:rFonts w:ascii="Arial" w:hAnsi="Arial" w:cs="Arial"/>
                <w:i/>
                <w:iCs/>
                <w:sz w:val="22"/>
                <w:szCs w:val="22"/>
              </w:rPr>
              <w:t>Panel</w:t>
            </w:r>
          </w:p>
          <w:p w14:paraId="110A9008" w14:textId="02E7DF2F" w:rsidR="1E359595" w:rsidRPr="008E40CA" w:rsidRDefault="1E359595" w:rsidP="1E359595">
            <w:pPr>
              <w:jc w:val="both"/>
              <w:rPr>
                <w:rFonts w:ascii="Arial" w:hAnsi="Arial" w:cs="Arial"/>
                <w:sz w:val="22"/>
                <w:szCs w:val="22"/>
              </w:rPr>
            </w:pPr>
            <w:r w:rsidRPr="008E40CA">
              <w:rPr>
                <w:rFonts w:ascii="Arial" w:eastAsia="Arial" w:hAnsi="Arial" w:cs="Arial"/>
                <w:b/>
                <w:bCs/>
                <w:sz w:val="22"/>
                <w:szCs w:val="22"/>
                <w:lang w:val="en-CA"/>
              </w:rPr>
              <w:t>Adaptation and climate resilient development futures: IPCC-IPBES reflections, interconnections and imperatives</w:t>
            </w:r>
          </w:p>
          <w:p w14:paraId="47B691D5" w14:textId="2C0A1D26" w:rsidR="00C8423A" w:rsidRPr="008E40CA" w:rsidRDefault="00C8423A" w:rsidP="00706DED">
            <w:pPr>
              <w:jc w:val="both"/>
              <w:rPr>
                <w:rFonts w:ascii="Arial" w:hAnsi="Arial" w:cs="Arial"/>
                <w:sz w:val="22"/>
                <w:szCs w:val="22"/>
              </w:rPr>
            </w:pPr>
          </w:p>
          <w:p w14:paraId="2BA78364" w14:textId="5D802DF8" w:rsidR="00C8423A" w:rsidRPr="008E40CA" w:rsidRDefault="00C8423A" w:rsidP="00BE0B4D">
            <w:pPr>
              <w:jc w:val="both"/>
              <w:rPr>
                <w:rFonts w:ascii="Arial" w:hAnsi="Arial" w:cs="Arial"/>
                <w:bCs/>
                <w:sz w:val="22"/>
                <w:szCs w:val="22"/>
              </w:rPr>
            </w:pPr>
          </w:p>
        </w:tc>
      </w:tr>
      <w:tr w:rsidR="00C8423A" w:rsidRPr="008E40CA" w14:paraId="3E0FEA24" w14:textId="77777777" w:rsidTr="59478843">
        <w:trPr>
          <w:trHeight w:val="2016"/>
        </w:trPr>
        <w:tc>
          <w:tcPr>
            <w:tcW w:w="8640" w:type="dxa"/>
          </w:tcPr>
          <w:p w14:paraId="53866F43" w14:textId="59FCA851" w:rsidR="009F4EA0" w:rsidRPr="008E40CA" w:rsidRDefault="009F4EA0" w:rsidP="00706DED">
            <w:pPr>
              <w:jc w:val="both"/>
              <w:rPr>
                <w:rFonts w:ascii="Arial" w:hAnsi="Arial" w:cs="Arial"/>
                <w:b/>
                <w:sz w:val="22"/>
                <w:szCs w:val="22"/>
              </w:rPr>
            </w:pPr>
          </w:p>
          <w:p w14:paraId="1E0BF999" w14:textId="77777777" w:rsidR="001A0D38" w:rsidRPr="008E40CA" w:rsidRDefault="7D48A2FA" w:rsidP="7D48A2FA">
            <w:pPr>
              <w:jc w:val="both"/>
              <w:rPr>
                <w:rFonts w:ascii="Arial" w:hAnsi="Arial" w:cs="Arial"/>
                <w:sz w:val="22"/>
                <w:szCs w:val="22"/>
                <w:lang w:val="en-US"/>
              </w:rPr>
            </w:pPr>
            <w:r w:rsidRPr="008E40CA">
              <w:rPr>
                <w:rFonts w:ascii="Arial" w:hAnsi="Arial" w:cs="Arial"/>
                <w:sz w:val="22"/>
                <w:szCs w:val="22"/>
                <w:lang w:val="en-US"/>
              </w:rPr>
              <w:t>The Intergovernmental Panel on Climate Change (IPCC) and the Intergovernmental Science-Policy Platform on Biodiversity and Ecosystem Services (IPBES) are the world's foremost scientific bodies assessing climate change and biodiversity, respectively. While IPCC synthesizes global scientific knowledge on climate change, its impacts, and mitigation strategies, guiding international climate policy, including the Paris Agreement, IPBES evaluates the state of the planet’s biodiversity and ecosystem services, underpinning global efforts such as the Kunming-Montreal Global Biodiversity Framework. Despite their distinct mandates, the challenges of climate change and biodiversity loss are deeply intertwined.  </w:t>
            </w:r>
          </w:p>
          <w:p w14:paraId="5907EE64" w14:textId="77777777" w:rsidR="00C46F7A" w:rsidRPr="008E40CA" w:rsidRDefault="00C46F7A" w:rsidP="7D48A2FA">
            <w:pPr>
              <w:jc w:val="both"/>
              <w:rPr>
                <w:rFonts w:ascii="Arial" w:hAnsi="Arial" w:cs="Arial"/>
                <w:sz w:val="22"/>
                <w:szCs w:val="22"/>
                <w:lang w:val="en-US"/>
              </w:rPr>
            </w:pPr>
          </w:p>
          <w:p w14:paraId="6AF4F301" w14:textId="0F2988E6" w:rsidR="00C46F7A" w:rsidRPr="008E40CA" w:rsidRDefault="39ACD49F" w:rsidP="7D48A2FA">
            <w:pPr>
              <w:jc w:val="both"/>
              <w:rPr>
                <w:rFonts w:ascii="Arial" w:hAnsi="Arial" w:cs="Arial"/>
                <w:sz w:val="22"/>
                <w:szCs w:val="22"/>
                <w:lang w:val="en-US"/>
              </w:rPr>
            </w:pPr>
            <w:r w:rsidRPr="008E40CA">
              <w:rPr>
                <w:rFonts w:ascii="Arial" w:hAnsi="Arial" w:cs="Arial"/>
                <w:sz w:val="22"/>
                <w:szCs w:val="22"/>
                <w:lang w:val="en-US"/>
              </w:rPr>
              <w:t xml:space="preserve">IPBES recently approved two groundbreaking reports, the Nexus Assessment and the Transformative Change Assessment (TCA).  The Nexus Assessment did a </w:t>
            </w:r>
            <w:r w:rsidRPr="008E40CA">
              <w:rPr>
                <w:rFonts w:ascii="Arial" w:eastAsia="Arial" w:hAnsi="Arial" w:cs="Arial"/>
                <w:sz w:val="22"/>
                <w:szCs w:val="22"/>
                <w:lang w:val="en-US"/>
              </w:rPr>
              <w:t xml:space="preserve">critical evaluation of evidence on the interlinkages between biodiversity loss, water availability and quality, food insecurity, health risks and climate change - the five elements of the </w:t>
            </w:r>
            <w:r w:rsidRPr="008E40CA">
              <w:rPr>
                <w:rFonts w:ascii="Arial" w:eastAsia="Arial" w:hAnsi="Arial" w:cs="Arial"/>
                <w:i/>
                <w:iCs/>
                <w:sz w:val="22"/>
                <w:szCs w:val="22"/>
                <w:lang w:val="en-US"/>
              </w:rPr>
              <w:t xml:space="preserve">Nexus.  </w:t>
            </w:r>
            <w:r w:rsidRPr="008E40CA">
              <w:rPr>
                <w:rFonts w:ascii="Arial" w:eastAsia="Arial" w:hAnsi="Arial" w:cs="Arial"/>
                <w:sz w:val="22"/>
                <w:szCs w:val="22"/>
                <w:lang w:val="en-US"/>
              </w:rPr>
              <w:t>The objective of the T</w:t>
            </w:r>
            <w:r w:rsidRPr="008E40CA">
              <w:rPr>
                <w:rFonts w:ascii="Arial" w:hAnsi="Arial" w:cs="Arial"/>
                <w:sz w:val="22"/>
                <w:szCs w:val="22"/>
                <w:lang w:val="en-US"/>
              </w:rPr>
              <w:t>CA</w:t>
            </w:r>
            <w:r w:rsidRPr="008E40CA">
              <w:rPr>
                <w:rFonts w:ascii="Arial" w:eastAsia="Arial" w:hAnsi="Arial" w:cs="Arial"/>
                <w:sz w:val="22"/>
                <w:szCs w:val="22"/>
                <w:lang w:val="en-US"/>
              </w:rPr>
              <w:t xml:space="preserve"> is to understand and identify factors in human society at both the individual and collective levels, including </w:t>
            </w:r>
            <w:proofErr w:type="spellStart"/>
            <w:r w:rsidRPr="008E40CA">
              <w:rPr>
                <w:rFonts w:ascii="Arial" w:eastAsia="Arial" w:hAnsi="Arial" w:cs="Arial"/>
                <w:sz w:val="22"/>
                <w:szCs w:val="22"/>
                <w:lang w:val="en-US"/>
              </w:rPr>
              <w:t>behavioural</w:t>
            </w:r>
            <w:proofErr w:type="spellEnd"/>
            <w:r w:rsidRPr="008E40CA">
              <w:rPr>
                <w:rFonts w:ascii="Arial" w:eastAsia="Arial" w:hAnsi="Arial" w:cs="Arial"/>
                <w:sz w:val="22"/>
                <w:szCs w:val="22"/>
                <w:lang w:val="en-US"/>
              </w:rPr>
              <w:t xml:space="preserve">, social, </w:t>
            </w:r>
            <w:proofErr w:type="gramStart"/>
            <w:r w:rsidRPr="008E40CA">
              <w:rPr>
                <w:rFonts w:ascii="Arial" w:eastAsia="Arial" w:hAnsi="Arial" w:cs="Arial"/>
                <w:sz w:val="22"/>
                <w:szCs w:val="22"/>
                <w:lang w:val="en-US"/>
              </w:rPr>
              <w:t>cultural</w:t>
            </w:r>
            <w:proofErr w:type="gramEnd"/>
            <w:r w:rsidRPr="008E40CA">
              <w:rPr>
                <w:rFonts w:ascii="Arial" w:eastAsia="Arial" w:hAnsi="Arial" w:cs="Arial"/>
                <w:sz w:val="22"/>
                <w:szCs w:val="22"/>
                <w:lang w:val="en-US"/>
              </w:rPr>
              <w:t>, economic, institutional, technical and technological dimensions, that may be leveraged to bring about transformative change for the conservation, restoration and wise use of biodiversity</w:t>
            </w:r>
            <w:r w:rsidRPr="008E40CA">
              <w:rPr>
                <w:rFonts w:ascii="Arial" w:eastAsiaTheme="minorEastAsia" w:hAnsi="Arial" w:cs="Arial"/>
                <w:sz w:val="22"/>
                <w:szCs w:val="22"/>
                <w:lang w:val="en-US" w:eastAsia="zh-TW"/>
              </w:rPr>
              <w:t xml:space="preserve">, in the context of broader social </w:t>
            </w:r>
            <w:proofErr w:type="spellStart"/>
            <w:r w:rsidRPr="008E40CA">
              <w:rPr>
                <w:rFonts w:ascii="Arial" w:eastAsiaTheme="minorEastAsia" w:hAnsi="Arial" w:cs="Arial"/>
                <w:sz w:val="22"/>
                <w:szCs w:val="22"/>
                <w:lang w:val="en-US" w:eastAsia="zh-TW"/>
              </w:rPr>
              <w:t>sustainabiility</w:t>
            </w:r>
            <w:proofErr w:type="spellEnd"/>
            <w:r w:rsidRPr="008E40CA">
              <w:rPr>
                <w:rFonts w:ascii="Arial" w:eastAsiaTheme="minorEastAsia" w:hAnsi="Arial" w:cs="Arial"/>
                <w:sz w:val="22"/>
                <w:szCs w:val="22"/>
                <w:lang w:val="en-US" w:eastAsia="zh-TW"/>
              </w:rPr>
              <w:t xml:space="preserve"> goals/objectives.   Both reports unpack elements from IPCC’s findings related to Climate Resilie</w:t>
            </w:r>
            <w:r w:rsidRPr="008E40CA">
              <w:rPr>
                <w:rFonts w:ascii="Arial" w:hAnsi="Arial" w:cs="Arial"/>
                <w:sz w:val="22"/>
                <w:szCs w:val="22"/>
                <w:lang w:val="en-US"/>
              </w:rPr>
              <w:t xml:space="preserve">nt Development, such as on how decisions are made with multiple actors within arenas of engagement, the role of development within climate and biodiversity action, and the important interface between Science-Policy-Society.  </w:t>
            </w:r>
          </w:p>
          <w:p w14:paraId="6688A80A" w14:textId="65AC2C71" w:rsidR="1BBFFD44" w:rsidRPr="008E40CA" w:rsidRDefault="1BBFFD44" w:rsidP="1BBFFD44">
            <w:pPr>
              <w:jc w:val="both"/>
              <w:rPr>
                <w:rFonts w:ascii="Arial" w:hAnsi="Arial" w:cs="Arial"/>
                <w:sz w:val="22"/>
                <w:szCs w:val="22"/>
                <w:lang w:val="en-US"/>
              </w:rPr>
            </w:pPr>
          </w:p>
          <w:p w14:paraId="3F6B0AAA" w14:textId="379FDD7F" w:rsidR="5D6BC8A9" w:rsidRPr="008E40CA" w:rsidRDefault="39ACD49F" w:rsidP="39ACD49F">
            <w:pPr>
              <w:jc w:val="both"/>
              <w:rPr>
                <w:rFonts w:ascii="Arial" w:eastAsia="Arial" w:hAnsi="Arial" w:cs="Arial"/>
                <w:sz w:val="22"/>
                <w:szCs w:val="22"/>
                <w:lang w:val="en-US"/>
              </w:rPr>
            </w:pPr>
            <w:r w:rsidRPr="008E40CA">
              <w:rPr>
                <w:rFonts w:ascii="Arial" w:eastAsiaTheme="minorEastAsia" w:hAnsi="Arial" w:cs="Arial"/>
                <w:sz w:val="22"/>
                <w:szCs w:val="22"/>
                <w:lang w:val="en-US" w:eastAsia="zh-TW"/>
              </w:rPr>
              <w:t xml:space="preserve">The objective of this session is to share perspectives from IPCC and IPBES assessment processes, with reflections on implications for future IPCC (for example, assessments under the 7th Assessment Cycle) and IPBES assessments (for example, the 2nd Global Assessment), as well as other assessments, for example, World Ocean Assessment III.  </w:t>
            </w:r>
          </w:p>
          <w:p w14:paraId="06747903" w14:textId="5C11CF00" w:rsidR="5D6BC8A9" w:rsidRPr="008E40CA" w:rsidRDefault="5D6BC8A9" w:rsidP="39ACD49F">
            <w:pPr>
              <w:jc w:val="both"/>
              <w:rPr>
                <w:rFonts w:ascii="Arial" w:eastAsia="Arial" w:hAnsi="Arial" w:cs="Arial"/>
                <w:sz w:val="22"/>
                <w:szCs w:val="22"/>
                <w:lang w:val="en-US"/>
              </w:rPr>
            </w:pPr>
          </w:p>
          <w:p w14:paraId="5743340A" w14:textId="32644E8E" w:rsidR="297EE804" w:rsidRPr="008E40CA" w:rsidRDefault="39ACD49F" w:rsidP="39ACD49F">
            <w:pPr>
              <w:spacing w:after="240"/>
              <w:jc w:val="both"/>
              <w:rPr>
                <w:rFonts w:ascii="Arial" w:eastAsiaTheme="minorEastAsia" w:hAnsi="Arial" w:cs="Arial"/>
                <w:sz w:val="22"/>
                <w:szCs w:val="22"/>
                <w:lang w:val="en-US" w:eastAsia="zh-TW"/>
              </w:rPr>
            </w:pPr>
            <w:r w:rsidRPr="008E40CA">
              <w:rPr>
                <w:rFonts w:ascii="Arial" w:eastAsiaTheme="minorEastAsia" w:hAnsi="Arial" w:cs="Arial"/>
                <w:sz w:val="22"/>
                <w:szCs w:val="22"/>
                <w:lang w:val="en-US" w:eastAsia="zh-TW"/>
              </w:rPr>
              <w:t xml:space="preserve">This session contributes to new knowledge and practice by bringing together authors who have been part of both the IPCC and IPBES assessments to share perspectives on how the interlinkages between </w:t>
            </w:r>
            <w:proofErr w:type="spellStart"/>
            <w:r w:rsidRPr="008E40CA">
              <w:rPr>
                <w:rFonts w:ascii="Arial" w:eastAsiaTheme="minorEastAsia" w:hAnsi="Arial" w:cs="Arial"/>
                <w:sz w:val="22"/>
                <w:szCs w:val="22"/>
                <w:lang w:val="en-US" w:eastAsia="zh-TW"/>
              </w:rPr>
              <w:t>polycrises</w:t>
            </w:r>
            <w:proofErr w:type="spellEnd"/>
            <w:r w:rsidRPr="008E40CA">
              <w:rPr>
                <w:rFonts w:ascii="Arial" w:eastAsiaTheme="minorEastAsia" w:hAnsi="Arial" w:cs="Arial"/>
                <w:sz w:val="22"/>
                <w:szCs w:val="22"/>
                <w:lang w:val="en-US" w:eastAsia="zh-TW"/>
              </w:rPr>
              <w:t xml:space="preserve"> are approached in these assessments. There are clear implications for science-policy assessments, therefore, this is a timely session for identifying where there are complementary approaches to future assessments.    </w:t>
            </w:r>
          </w:p>
          <w:p w14:paraId="1908D4A5" w14:textId="62C3FA93" w:rsidR="297EE804" w:rsidRPr="008E40CA" w:rsidRDefault="39ACD49F" w:rsidP="6D48DD94">
            <w:pPr>
              <w:spacing w:after="240"/>
              <w:jc w:val="both"/>
              <w:rPr>
                <w:rFonts w:ascii="Arial" w:eastAsia="Arial" w:hAnsi="Arial" w:cs="Arial"/>
                <w:sz w:val="22"/>
                <w:szCs w:val="22"/>
                <w:lang w:val="en-US"/>
              </w:rPr>
            </w:pPr>
            <w:r w:rsidRPr="008E40CA">
              <w:rPr>
                <w:rFonts w:ascii="Arial" w:eastAsia="Arial" w:hAnsi="Arial" w:cs="Arial"/>
                <w:sz w:val="22"/>
                <w:szCs w:val="22"/>
                <w:lang w:val="en-US"/>
              </w:rPr>
              <w:t xml:space="preserve">The session will first discuss the parallel and interwoven streams of IPCC and IPBES assessments and highlight the need for greater coordination.  We then describe the core imperatives for action from three recent major assessments:  1) IPCC’s Sixth Assessment Report, focusing on Climate Resilient Development, the role of development for climate action and the urgency and need for transformation, 2) the IPBES Transformative Change Assessment, highlighting the importance of different visions and worldviews, the barriers to transformation and the strategies to overcome these barriers, 3) the IPBES Nexus Assessment, highlighting the interlinkages between </w:t>
            </w:r>
            <w:r w:rsidRPr="008E40CA">
              <w:rPr>
                <w:rFonts w:ascii="Arial" w:eastAsia="Arial" w:hAnsi="Arial" w:cs="Arial"/>
                <w:sz w:val="22"/>
                <w:szCs w:val="22"/>
                <w:lang w:val="en-US"/>
              </w:rPr>
              <w:lastRenderedPageBreak/>
              <w:t xml:space="preserve">biodiversity, food, water, health and climate change as a way to drive transformation and climate and development action. </w:t>
            </w:r>
          </w:p>
          <w:p w14:paraId="5ABB911A" w14:textId="1370646B" w:rsidR="00BE0B4D" w:rsidRPr="008E40CA" w:rsidRDefault="71481C4F" w:rsidP="2A710554">
            <w:pPr>
              <w:spacing w:after="240"/>
              <w:jc w:val="both"/>
              <w:rPr>
                <w:rFonts w:ascii="Arial" w:eastAsia="Arial" w:hAnsi="Arial" w:cs="Arial"/>
                <w:sz w:val="22"/>
                <w:szCs w:val="22"/>
                <w:lang w:val="en-US"/>
              </w:rPr>
            </w:pPr>
            <w:r w:rsidRPr="008E40CA">
              <w:rPr>
                <w:rFonts w:ascii="Arial" w:eastAsia="Arial" w:hAnsi="Arial" w:cs="Arial"/>
                <w:sz w:val="22"/>
                <w:szCs w:val="22"/>
                <w:lang w:val="en-US"/>
              </w:rPr>
              <w:t>These three assessments underpin the role of actors and the need to bridge Science-Policy-Society through Transformative Nexus Development.</w:t>
            </w:r>
          </w:p>
          <w:p w14:paraId="659CB0F7" w14:textId="0264B980" w:rsidR="71481C4F" w:rsidRPr="008E40CA" w:rsidRDefault="78B350C7" w:rsidP="71481C4F">
            <w:pPr>
              <w:spacing w:after="240"/>
              <w:jc w:val="both"/>
              <w:rPr>
                <w:rFonts w:ascii="Arial" w:eastAsia="Arial" w:hAnsi="Arial" w:cs="Arial"/>
                <w:sz w:val="22"/>
                <w:szCs w:val="22"/>
                <w:lang w:val="en-US"/>
              </w:rPr>
            </w:pPr>
            <w:r w:rsidRPr="008E40CA">
              <w:rPr>
                <w:rFonts w:ascii="Arial" w:eastAsia="Arial" w:hAnsi="Arial" w:cs="Arial"/>
                <w:b/>
                <w:bCs/>
                <w:sz w:val="22"/>
                <w:szCs w:val="22"/>
                <w:lang w:val="en-US"/>
              </w:rPr>
              <w:t>References</w:t>
            </w:r>
            <w:r w:rsidRPr="008E40CA">
              <w:rPr>
                <w:rFonts w:ascii="Arial" w:eastAsia="Arial" w:hAnsi="Arial" w:cs="Arial"/>
                <w:sz w:val="22"/>
                <w:szCs w:val="22"/>
                <w:lang w:val="en-US"/>
              </w:rPr>
              <w:t>:</w:t>
            </w:r>
          </w:p>
          <w:p w14:paraId="2BA5C2B3" w14:textId="747F1812" w:rsidR="00BE0B4D" w:rsidRPr="008E40CA" w:rsidRDefault="2A710554" w:rsidP="2A710554">
            <w:pPr>
              <w:jc w:val="both"/>
              <w:rPr>
                <w:rFonts w:ascii="Arial" w:hAnsi="Arial" w:cs="Arial"/>
                <w:sz w:val="22"/>
                <w:szCs w:val="22"/>
              </w:rPr>
            </w:pPr>
            <w:r w:rsidRPr="008E40CA">
              <w:rPr>
                <w:rFonts w:ascii="Arial" w:eastAsia="Arial" w:hAnsi="Arial" w:cs="Arial"/>
                <w:sz w:val="22"/>
                <w:szCs w:val="22"/>
                <w:lang w:val="en-US"/>
              </w:rPr>
              <w:t xml:space="preserve">IPCC, 2022: Summary for Policymakers [H.-O. Pörtner, D.C. Roberts, E.S. Poloczanska, K. Mintenbeck, M. Tignor, A. Alegría, M. Craig, S. Langsdorf, S. Löschke, V. Möller, A. </w:t>
            </w:r>
            <w:proofErr w:type="spellStart"/>
            <w:r w:rsidRPr="008E40CA">
              <w:rPr>
                <w:rFonts w:ascii="Arial" w:eastAsia="Arial" w:hAnsi="Arial" w:cs="Arial"/>
                <w:sz w:val="22"/>
                <w:szCs w:val="22"/>
                <w:lang w:val="en-US"/>
              </w:rPr>
              <w:t>Okem</w:t>
            </w:r>
            <w:proofErr w:type="spellEnd"/>
            <w:r w:rsidRPr="008E40CA">
              <w:rPr>
                <w:rFonts w:ascii="Arial" w:eastAsia="Arial" w:hAnsi="Arial" w:cs="Arial"/>
                <w:sz w:val="22"/>
                <w:szCs w:val="22"/>
                <w:lang w:val="en-US"/>
              </w:rPr>
              <w:t xml:space="preserve"> (eds.)]. In:</w:t>
            </w:r>
            <w:r w:rsidRPr="008E40CA">
              <w:rPr>
                <w:rFonts w:ascii="Arial" w:eastAsia="Arial" w:hAnsi="Arial" w:cs="Arial"/>
                <w:i/>
                <w:iCs/>
                <w:sz w:val="22"/>
                <w:szCs w:val="22"/>
                <w:lang w:val="en-US"/>
              </w:rPr>
              <w:t xml:space="preserve"> Climate Change 2022: Impacts, Adaptation, and Vulnerability. </w:t>
            </w:r>
            <w:r w:rsidRPr="008E40CA">
              <w:rPr>
                <w:rFonts w:ascii="Arial" w:eastAsia="Arial" w:hAnsi="Arial" w:cs="Arial"/>
                <w:sz w:val="22"/>
                <w:szCs w:val="22"/>
                <w:lang w:val="en-US"/>
              </w:rPr>
              <w:t xml:space="preserve">Contribution of Working Group II to the Sixth Assessment Report of the Intergovernmental Panel on Climate Change [H.-O. Pörtner, D.C. Roberts, M. Tignor, E.S. Poloczanska, K. Mintenbeck, A. Alegría, M. Craig, S. Langsdorf, S. Löschke, V. Möller, A. </w:t>
            </w:r>
            <w:proofErr w:type="spellStart"/>
            <w:r w:rsidRPr="008E40CA">
              <w:rPr>
                <w:rFonts w:ascii="Arial" w:eastAsia="Arial" w:hAnsi="Arial" w:cs="Arial"/>
                <w:sz w:val="22"/>
                <w:szCs w:val="22"/>
                <w:lang w:val="en-US"/>
              </w:rPr>
              <w:t>Okem</w:t>
            </w:r>
            <w:proofErr w:type="spellEnd"/>
            <w:r w:rsidRPr="008E40CA">
              <w:rPr>
                <w:rFonts w:ascii="Arial" w:eastAsia="Arial" w:hAnsi="Arial" w:cs="Arial"/>
                <w:sz w:val="22"/>
                <w:szCs w:val="22"/>
                <w:lang w:val="en-US"/>
              </w:rPr>
              <w:t>, B. Rama (eds.)]. Cambridge University Press, Cambridge, UK and New York, NY, USA, pp. 3-33, doi:</w:t>
            </w:r>
            <w:hyperlink r:id="rId8">
              <w:r w:rsidRPr="008E40CA">
                <w:rPr>
                  <w:rStyle w:val="Hyperlink"/>
                  <w:rFonts w:ascii="Arial" w:eastAsia="Arial" w:hAnsi="Arial" w:cs="Arial"/>
                  <w:sz w:val="22"/>
                  <w:szCs w:val="22"/>
                  <w:lang w:val="en-US"/>
                </w:rPr>
                <w:t>10.1017/9781009325844.001</w:t>
              </w:r>
            </w:hyperlink>
            <w:r w:rsidRPr="008E40CA">
              <w:rPr>
                <w:rFonts w:ascii="Arial" w:eastAsia="Arial" w:hAnsi="Arial" w:cs="Arial"/>
                <w:sz w:val="22"/>
                <w:szCs w:val="22"/>
                <w:lang w:val="en-US"/>
              </w:rPr>
              <w:t>.</w:t>
            </w:r>
          </w:p>
          <w:p w14:paraId="7D09BD34" w14:textId="77777777" w:rsidR="00BC6810" w:rsidRPr="008E40CA" w:rsidRDefault="00BC6810" w:rsidP="7D48A2FA">
            <w:pPr>
              <w:jc w:val="both"/>
              <w:rPr>
                <w:rFonts w:ascii="Arial" w:hAnsi="Arial" w:cs="Arial"/>
                <w:sz w:val="22"/>
                <w:szCs w:val="22"/>
              </w:rPr>
            </w:pPr>
          </w:p>
          <w:p w14:paraId="227E75C8" w14:textId="0ACE818F" w:rsidR="00C8423A" w:rsidRPr="008E40CA" w:rsidRDefault="2A710554" w:rsidP="2A710554">
            <w:pPr>
              <w:jc w:val="both"/>
              <w:rPr>
                <w:rFonts w:ascii="Arial" w:hAnsi="Arial" w:cs="Arial"/>
                <w:sz w:val="22"/>
                <w:szCs w:val="22"/>
              </w:rPr>
            </w:pPr>
            <w:r w:rsidRPr="008E40CA">
              <w:rPr>
                <w:rFonts w:ascii="Arial" w:eastAsia="Arial" w:hAnsi="Arial" w:cs="Arial"/>
                <w:sz w:val="22"/>
                <w:szCs w:val="22"/>
                <w:lang w:val="en-CA"/>
              </w:rPr>
              <w:t>IPCC, 2023: Summary for Policymakers. In:</w:t>
            </w:r>
            <w:r w:rsidRPr="008E40CA">
              <w:rPr>
                <w:rFonts w:ascii="Arial" w:eastAsia="Arial" w:hAnsi="Arial" w:cs="Arial"/>
                <w:i/>
                <w:iCs/>
                <w:sz w:val="22"/>
                <w:szCs w:val="22"/>
                <w:lang w:val="en-CA"/>
              </w:rPr>
              <w:t xml:space="preserve"> Climate Change 2023: Synthesis </w:t>
            </w:r>
            <w:proofErr w:type="spellStart"/>
            <w:r w:rsidRPr="008E40CA">
              <w:rPr>
                <w:rFonts w:ascii="Arial" w:eastAsia="Arial" w:hAnsi="Arial" w:cs="Arial"/>
                <w:i/>
                <w:iCs/>
                <w:sz w:val="22"/>
                <w:szCs w:val="22"/>
                <w:lang w:val="en-CA"/>
              </w:rPr>
              <w:t>Report.</w:t>
            </w:r>
            <w:r w:rsidRPr="008E40CA">
              <w:rPr>
                <w:rFonts w:ascii="Arial" w:eastAsia="Arial" w:hAnsi="Arial" w:cs="Arial"/>
                <w:sz w:val="22"/>
                <w:szCs w:val="22"/>
                <w:lang w:val="en-CA"/>
              </w:rPr>
              <w:t>Contribution</w:t>
            </w:r>
            <w:proofErr w:type="spellEnd"/>
            <w:r w:rsidRPr="008E40CA">
              <w:rPr>
                <w:rFonts w:ascii="Arial" w:eastAsia="Arial" w:hAnsi="Arial" w:cs="Arial"/>
                <w:sz w:val="22"/>
                <w:szCs w:val="22"/>
                <w:lang w:val="en-CA"/>
              </w:rPr>
              <w:t xml:space="preserve"> of Working Groups I, II and III to the Sixth Assessment Report of the Intergovernmental Panel on Climate Change [Core Writing Team, H. Lee and J. Romero (eds.)]. IPCC, Geneva, Switzerland, pp. 1-34, </w:t>
            </w:r>
            <w:proofErr w:type="spellStart"/>
            <w:r w:rsidRPr="008E40CA">
              <w:rPr>
                <w:rFonts w:ascii="Arial" w:eastAsia="Arial" w:hAnsi="Arial" w:cs="Arial"/>
                <w:sz w:val="22"/>
                <w:szCs w:val="22"/>
                <w:lang w:val="en-CA"/>
              </w:rPr>
              <w:t>doi</w:t>
            </w:r>
            <w:proofErr w:type="spellEnd"/>
            <w:r w:rsidRPr="008E40CA">
              <w:rPr>
                <w:rFonts w:ascii="Arial" w:eastAsia="Arial" w:hAnsi="Arial" w:cs="Arial"/>
                <w:sz w:val="22"/>
                <w:szCs w:val="22"/>
                <w:lang w:val="en-CA"/>
              </w:rPr>
              <w:t xml:space="preserve">: </w:t>
            </w:r>
            <w:hyperlink r:id="rId9">
              <w:r w:rsidRPr="008E40CA">
                <w:rPr>
                  <w:rStyle w:val="Hyperlink"/>
                  <w:rFonts w:ascii="Arial" w:eastAsia="Arial" w:hAnsi="Arial" w:cs="Arial"/>
                  <w:sz w:val="22"/>
                  <w:szCs w:val="22"/>
                  <w:lang w:val="en-CA"/>
                </w:rPr>
                <w:t>10.59327/IPCC/AR6-9789291691647.001</w:t>
              </w:r>
            </w:hyperlink>
            <w:r w:rsidRPr="008E40CA">
              <w:rPr>
                <w:rFonts w:ascii="Arial" w:eastAsia="Arial" w:hAnsi="Arial" w:cs="Arial"/>
                <w:sz w:val="22"/>
                <w:szCs w:val="22"/>
                <w:lang w:val="en-CA"/>
              </w:rPr>
              <w:t>.</w:t>
            </w:r>
          </w:p>
          <w:p w14:paraId="1B9EA57A" w14:textId="3E1901EB" w:rsidR="00C8423A" w:rsidRPr="008E40CA" w:rsidRDefault="00C8423A" w:rsidP="2A710554">
            <w:pPr>
              <w:jc w:val="both"/>
              <w:rPr>
                <w:rFonts w:ascii="Arial" w:eastAsia="Arial" w:hAnsi="Arial" w:cs="Arial"/>
                <w:sz w:val="22"/>
                <w:szCs w:val="22"/>
                <w:lang w:val="en-CA"/>
              </w:rPr>
            </w:pPr>
          </w:p>
          <w:p w14:paraId="3ED455BB" w14:textId="3A9BB2A6" w:rsidR="00C8423A" w:rsidRPr="008E40CA" w:rsidRDefault="2A710554" w:rsidP="2A710554">
            <w:pPr>
              <w:jc w:val="both"/>
              <w:rPr>
                <w:rFonts w:ascii="Arial" w:hAnsi="Arial" w:cs="Arial"/>
                <w:sz w:val="22"/>
                <w:szCs w:val="22"/>
              </w:rPr>
            </w:pPr>
            <w:r w:rsidRPr="008E40CA">
              <w:rPr>
                <w:rFonts w:ascii="Arial" w:eastAsia="Arial" w:hAnsi="Arial" w:cs="Arial"/>
                <w:sz w:val="22"/>
                <w:szCs w:val="22"/>
                <w:lang w:val="en-CA"/>
              </w:rPr>
              <w:t xml:space="preserve">IPBES (2024). Summary for Policymakers of the Thematic Assessment Report on the Interlinkages among Biodiversity, Water, Food and Health of the Intergovernmental Science-Policy Platform on Biodiversity and Ecosystem Services. McElwee, P. D., Harrison, P. A., van Huysen, T. L., Alonso Roldán, V., Barrios, E., Dasgupta, P., DeClerck, F., Harmáčková, Z. V., Hayman, D. T. S., Herrero, M., Kumar, R., Ley, D., </w:t>
            </w:r>
            <w:proofErr w:type="spellStart"/>
            <w:r w:rsidRPr="008E40CA">
              <w:rPr>
                <w:rFonts w:ascii="Arial" w:eastAsia="Arial" w:hAnsi="Arial" w:cs="Arial"/>
                <w:sz w:val="22"/>
                <w:szCs w:val="22"/>
                <w:lang w:val="en-CA"/>
              </w:rPr>
              <w:t>Mangalagiu</w:t>
            </w:r>
            <w:proofErr w:type="spellEnd"/>
            <w:r w:rsidRPr="008E40CA">
              <w:rPr>
                <w:rFonts w:ascii="Arial" w:eastAsia="Arial" w:hAnsi="Arial" w:cs="Arial"/>
                <w:sz w:val="22"/>
                <w:szCs w:val="22"/>
                <w:lang w:val="en-CA"/>
              </w:rPr>
              <w:t xml:space="preserve">, D., McFarlane, R. A., Paukert, C., Pengue, W. A., Prist, P. R., Ricketts, T. H., Rounsevell, M. D. A., Saito, O., </w:t>
            </w:r>
            <w:proofErr w:type="spellStart"/>
            <w:r w:rsidRPr="008E40CA">
              <w:rPr>
                <w:rFonts w:ascii="Arial" w:eastAsia="Arial" w:hAnsi="Arial" w:cs="Arial"/>
                <w:sz w:val="22"/>
                <w:szCs w:val="22"/>
                <w:lang w:val="en-CA"/>
              </w:rPr>
              <w:t>Selomane</w:t>
            </w:r>
            <w:proofErr w:type="spellEnd"/>
            <w:r w:rsidRPr="008E40CA">
              <w:rPr>
                <w:rFonts w:ascii="Arial" w:eastAsia="Arial" w:hAnsi="Arial" w:cs="Arial"/>
                <w:sz w:val="22"/>
                <w:szCs w:val="22"/>
                <w:lang w:val="en-CA"/>
              </w:rPr>
              <w:t xml:space="preserve">, O., Seppelt, R., Singh, P. K., Sitas, N., Smith, P., Vause, J., </w:t>
            </w:r>
            <w:proofErr w:type="spellStart"/>
            <w:r w:rsidRPr="008E40CA">
              <w:rPr>
                <w:rFonts w:ascii="Arial" w:eastAsia="Arial" w:hAnsi="Arial" w:cs="Arial"/>
                <w:sz w:val="22"/>
                <w:szCs w:val="22"/>
                <w:lang w:val="en-CA"/>
              </w:rPr>
              <w:t>Molua</w:t>
            </w:r>
            <w:proofErr w:type="spellEnd"/>
            <w:r w:rsidRPr="008E40CA">
              <w:rPr>
                <w:rFonts w:ascii="Arial" w:eastAsia="Arial" w:hAnsi="Arial" w:cs="Arial"/>
                <w:sz w:val="22"/>
                <w:szCs w:val="22"/>
                <w:lang w:val="en-CA"/>
              </w:rPr>
              <w:t>, E. L., Zambrana-</w:t>
            </w:r>
            <w:proofErr w:type="spellStart"/>
            <w:r w:rsidRPr="008E40CA">
              <w:rPr>
                <w:rFonts w:ascii="Arial" w:eastAsia="Arial" w:hAnsi="Arial" w:cs="Arial"/>
                <w:sz w:val="22"/>
                <w:szCs w:val="22"/>
                <w:lang w:val="en-CA"/>
              </w:rPr>
              <w:t>Torrelio</w:t>
            </w:r>
            <w:proofErr w:type="spellEnd"/>
            <w:r w:rsidRPr="008E40CA">
              <w:rPr>
                <w:rFonts w:ascii="Arial" w:eastAsia="Arial" w:hAnsi="Arial" w:cs="Arial"/>
                <w:sz w:val="22"/>
                <w:szCs w:val="22"/>
                <w:lang w:val="en-CA"/>
              </w:rPr>
              <w:t xml:space="preserve">, C., and Obura, D. (eds.). IPBES secretariat, Bonn, Germany. DOI: </w:t>
            </w:r>
            <w:hyperlink r:id="rId10">
              <w:r w:rsidRPr="008E40CA">
                <w:rPr>
                  <w:rStyle w:val="Hyperlink"/>
                  <w:rFonts w:ascii="Arial" w:eastAsia="Arial" w:hAnsi="Arial" w:cs="Arial"/>
                  <w:sz w:val="22"/>
                  <w:szCs w:val="22"/>
                  <w:lang w:val="en-CA"/>
                </w:rPr>
                <w:t>https://doi.org/10.5281/zenodo.13850290</w:t>
              </w:r>
            </w:hyperlink>
            <w:r w:rsidRPr="008E40CA">
              <w:rPr>
                <w:rFonts w:ascii="Arial" w:eastAsia="Arial" w:hAnsi="Arial" w:cs="Arial"/>
                <w:sz w:val="22"/>
                <w:szCs w:val="22"/>
                <w:lang w:val="en-CA"/>
              </w:rPr>
              <w:t>.</w:t>
            </w:r>
          </w:p>
          <w:p w14:paraId="14483838" w14:textId="4A8BAE86" w:rsidR="00C8423A" w:rsidRPr="008E40CA" w:rsidRDefault="00C8423A" w:rsidP="2A710554">
            <w:pPr>
              <w:jc w:val="both"/>
              <w:rPr>
                <w:rFonts w:ascii="Arial" w:eastAsia="Arial" w:hAnsi="Arial" w:cs="Arial"/>
                <w:sz w:val="22"/>
                <w:szCs w:val="22"/>
                <w:lang w:val="en-CA"/>
              </w:rPr>
            </w:pPr>
          </w:p>
          <w:p w14:paraId="175F4CBF" w14:textId="64276C69" w:rsidR="00C8423A" w:rsidRPr="008E40CA" w:rsidRDefault="2A710554" w:rsidP="2A710554">
            <w:pPr>
              <w:jc w:val="both"/>
              <w:rPr>
                <w:rFonts w:ascii="Arial" w:hAnsi="Arial" w:cs="Arial"/>
                <w:sz w:val="22"/>
                <w:szCs w:val="22"/>
              </w:rPr>
            </w:pPr>
            <w:r w:rsidRPr="008E40CA">
              <w:rPr>
                <w:rFonts w:ascii="Arial" w:eastAsia="Arial" w:hAnsi="Arial" w:cs="Arial"/>
                <w:sz w:val="22"/>
                <w:szCs w:val="22"/>
                <w:lang w:val="en-CA"/>
              </w:rPr>
              <w:t xml:space="preserve">IPBES (2024). Summary for Policymakers of the Thematic Assessment Report on the Underlying Causes of Biodiversity Loss and the Determinants of Transformative Change and Options for Achieving the 2050 Vision for Biodiversity of the Intergovernmental Science-Policy Platform on Biodiversity and Ecosystem Services. O’Brien, K., Garibaldi, L., Agrawal, A., Bennett, E., Biggs, O., Calderón Contreras, R., Carr, E., </w:t>
            </w:r>
            <w:proofErr w:type="spellStart"/>
            <w:r w:rsidRPr="008E40CA">
              <w:rPr>
                <w:rFonts w:ascii="Arial" w:eastAsia="Arial" w:hAnsi="Arial" w:cs="Arial"/>
                <w:sz w:val="22"/>
                <w:szCs w:val="22"/>
                <w:lang w:val="en-CA"/>
              </w:rPr>
              <w:t>Frantzeskaki</w:t>
            </w:r>
            <w:proofErr w:type="spellEnd"/>
            <w:r w:rsidRPr="008E40CA">
              <w:rPr>
                <w:rFonts w:ascii="Arial" w:eastAsia="Arial" w:hAnsi="Arial" w:cs="Arial"/>
                <w:sz w:val="22"/>
                <w:szCs w:val="22"/>
                <w:lang w:val="en-CA"/>
              </w:rPr>
              <w:t xml:space="preserve">, N., Gosnell, H., Gurung, J., </w:t>
            </w:r>
            <w:proofErr w:type="spellStart"/>
            <w:r w:rsidRPr="008E40CA">
              <w:rPr>
                <w:rFonts w:ascii="Arial" w:eastAsia="Arial" w:hAnsi="Arial" w:cs="Arial"/>
                <w:sz w:val="22"/>
                <w:szCs w:val="22"/>
                <w:lang w:val="en-CA"/>
              </w:rPr>
              <w:t>Lambertucci</w:t>
            </w:r>
            <w:proofErr w:type="spellEnd"/>
            <w:r w:rsidRPr="008E40CA">
              <w:rPr>
                <w:rFonts w:ascii="Arial" w:eastAsia="Arial" w:hAnsi="Arial" w:cs="Arial"/>
                <w:sz w:val="22"/>
                <w:szCs w:val="22"/>
                <w:lang w:val="en-CA"/>
              </w:rPr>
              <w:t xml:space="preserve">, S., Leventon, J., Liao, C., Reyes García, V., Shannon, L., Villasante, S., Wickson, F., Zinngrebe, Y., and Perianin, L. (eds.). IPBES secretariat, Bonn, Germany. DOI: </w:t>
            </w:r>
            <w:hyperlink r:id="rId11">
              <w:r w:rsidRPr="008E40CA">
                <w:rPr>
                  <w:rStyle w:val="Hyperlink"/>
                  <w:rFonts w:ascii="Arial" w:eastAsia="Arial" w:hAnsi="Arial" w:cs="Arial"/>
                  <w:sz w:val="22"/>
                  <w:szCs w:val="22"/>
                  <w:lang w:val="en-CA"/>
                </w:rPr>
                <w:t>https://doi.org/10.5281/zenodo.11382230</w:t>
              </w:r>
            </w:hyperlink>
          </w:p>
        </w:tc>
      </w:tr>
      <w:tr w:rsidR="004828A0" w:rsidRPr="008E40CA" w14:paraId="76E17AFD" w14:textId="77777777" w:rsidTr="59478843">
        <w:trPr>
          <w:trHeight w:val="576"/>
        </w:trPr>
        <w:tc>
          <w:tcPr>
            <w:tcW w:w="8640" w:type="dxa"/>
          </w:tcPr>
          <w:p w14:paraId="77EDFBC8" w14:textId="20D46F1F" w:rsidR="004828A0" w:rsidRPr="008E40CA" w:rsidRDefault="00670B0C" w:rsidP="004828A0">
            <w:pPr>
              <w:jc w:val="both"/>
              <w:rPr>
                <w:rFonts w:ascii="Arial" w:hAnsi="Arial" w:cs="Arial"/>
                <w:b/>
                <w:sz w:val="22"/>
                <w:szCs w:val="22"/>
              </w:rPr>
            </w:pPr>
            <w:r w:rsidRPr="008E40CA">
              <w:rPr>
                <w:rFonts w:ascii="Arial" w:hAnsi="Arial" w:cs="Arial"/>
                <w:b/>
                <w:sz w:val="22"/>
                <w:szCs w:val="22"/>
              </w:rPr>
              <w:lastRenderedPageBreak/>
              <w:t>INDIVIDUAL PANELLIST CONTRIBUTION</w:t>
            </w:r>
          </w:p>
          <w:p w14:paraId="0DC49183" w14:textId="77777777" w:rsidR="006D4A81" w:rsidRPr="008E40CA" w:rsidRDefault="006D4A81" w:rsidP="004828A0">
            <w:pPr>
              <w:jc w:val="both"/>
              <w:rPr>
                <w:rFonts w:ascii="Arial" w:hAnsi="Arial" w:cs="Arial"/>
                <w:b/>
                <w:sz w:val="22"/>
                <w:szCs w:val="22"/>
                <w:u w:val="single"/>
              </w:rPr>
            </w:pPr>
          </w:p>
          <w:p w14:paraId="3CE814F8" w14:textId="60C557C2" w:rsidR="00E9389C" w:rsidRPr="008E40CA" w:rsidRDefault="00E9389C" w:rsidP="004828A0">
            <w:pPr>
              <w:jc w:val="both"/>
              <w:rPr>
                <w:rFonts w:ascii="Arial" w:hAnsi="Arial" w:cs="Arial"/>
                <w:b/>
                <w:sz w:val="22"/>
                <w:szCs w:val="22"/>
                <w:u w:val="single"/>
              </w:rPr>
            </w:pPr>
            <w:r w:rsidRPr="008E40CA">
              <w:rPr>
                <w:rFonts w:ascii="Arial" w:hAnsi="Arial" w:cs="Arial"/>
                <w:b/>
                <w:sz w:val="22"/>
                <w:szCs w:val="22"/>
                <w:u w:val="single"/>
              </w:rPr>
              <w:t>Moderator Details</w:t>
            </w:r>
          </w:p>
          <w:p w14:paraId="638FD688" w14:textId="4ACF4CCF" w:rsidR="00E9389C" w:rsidRPr="008E40CA" w:rsidRDefault="00E9389C" w:rsidP="004828A0">
            <w:pPr>
              <w:jc w:val="both"/>
              <w:rPr>
                <w:rFonts w:ascii="Arial" w:hAnsi="Arial" w:cs="Arial"/>
                <w:b/>
                <w:sz w:val="22"/>
                <w:szCs w:val="22"/>
              </w:rPr>
            </w:pPr>
            <w:r w:rsidRPr="008E40CA">
              <w:rPr>
                <w:rFonts w:ascii="Arial" w:hAnsi="Arial" w:cs="Arial"/>
                <w:b/>
                <w:sz w:val="22"/>
                <w:szCs w:val="22"/>
              </w:rPr>
              <w:t>Full Name:</w:t>
            </w:r>
            <w:r w:rsidR="009C51D5" w:rsidRPr="008E40CA">
              <w:rPr>
                <w:rFonts w:ascii="Arial" w:hAnsi="Arial" w:cs="Arial"/>
                <w:b/>
                <w:sz w:val="22"/>
                <w:szCs w:val="22"/>
              </w:rPr>
              <w:t xml:space="preserve">  Debora Ley</w:t>
            </w:r>
          </w:p>
          <w:p w14:paraId="5921086D" w14:textId="1D6CCC6B" w:rsidR="00E9389C" w:rsidRPr="008E40CA" w:rsidRDefault="00E9389C" w:rsidP="004828A0">
            <w:pPr>
              <w:jc w:val="both"/>
              <w:rPr>
                <w:rFonts w:ascii="Arial" w:hAnsi="Arial" w:cs="Arial"/>
                <w:b/>
                <w:sz w:val="22"/>
                <w:szCs w:val="22"/>
              </w:rPr>
            </w:pPr>
            <w:r w:rsidRPr="008E40CA">
              <w:rPr>
                <w:rFonts w:ascii="Arial" w:hAnsi="Arial" w:cs="Arial"/>
                <w:b/>
                <w:sz w:val="22"/>
                <w:szCs w:val="22"/>
              </w:rPr>
              <w:t>Organisation:</w:t>
            </w:r>
            <w:r w:rsidR="009C51D5" w:rsidRPr="008E40CA">
              <w:rPr>
                <w:rFonts w:ascii="Arial" w:hAnsi="Arial" w:cs="Arial"/>
                <w:b/>
                <w:sz w:val="22"/>
                <w:szCs w:val="22"/>
              </w:rPr>
              <w:t xml:space="preserve">  UN ECLAC</w:t>
            </w:r>
          </w:p>
          <w:p w14:paraId="36D44708" w14:textId="277C610A" w:rsidR="6D48DD94" w:rsidRPr="008E40CA" w:rsidRDefault="0F8A48A5" w:rsidP="0F8A48A5">
            <w:pPr>
              <w:spacing w:line="259" w:lineRule="auto"/>
              <w:jc w:val="both"/>
              <w:rPr>
                <w:rFonts w:ascii="Arial" w:hAnsi="Arial" w:cs="Arial"/>
                <w:sz w:val="22"/>
                <w:szCs w:val="22"/>
                <w:lang w:val="en-US"/>
              </w:rPr>
            </w:pPr>
            <w:r w:rsidRPr="008E40CA">
              <w:rPr>
                <w:rFonts w:ascii="Arial" w:hAnsi="Arial" w:cs="Arial"/>
                <w:b/>
                <w:bCs/>
                <w:sz w:val="22"/>
                <w:szCs w:val="22"/>
              </w:rPr>
              <w:t>Bio sketch</w:t>
            </w:r>
            <w:r w:rsidR="008C692D">
              <w:rPr>
                <w:rFonts w:ascii="Arial" w:hAnsi="Arial" w:cs="Arial"/>
                <w:b/>
                <w:bCs/>
                <w:sz w:val="22"/>
                <w:szCs w:val="22"/>
              </w:rPr>
              <w:t>:</w:t>
            </w:r>
            <w:r w:rsidRPr="008E40CA">
              <w:rPr>
                <w:rFonts w:ascii="Arial" w:hAnsi="Arial" w:cs="Arial"/>
                <w:b/>
                <w:bCs/>
                <w:sz w:val="22"/>
                <w:szCs w:val="22"/>
              </w:rPr>
              <w:t xml:space="preserve">  </w:t>
            </w:r>
            <w:r w:rsidRPr="008E40CA">
              <w:rPr>
                <w:rFonts w:ascii="Arial" w:eastAsiaTheme="minorEastAsia" w:hAnsi="Arial" w:cs="Arial"/>
                <w:sz w:val="22"/>
                <w:szCs w:val="22"/>
                <w:lang w:val="en-US" w:eastAsia="zh-TW"/>
              </w:rPr>
              <w:t xml:space="preserve">Dr. Debora Ley is Chief of the Energy and Natural Resources Unit of the UN ECLAC.  She has worked at Sandia National Laboratories and has been a consultant with numerous </w:t>
            </w:r>
            <w:proofErr w:type="spellStart"/>
            <w:r w:rsidRPr="008E40CA">
              <w:rPr>
                <w:rFonts w:ascii="Arial" w:eastAsiaTheme="minorEastAsia" w:hAnsi="Arial" w:cs="Arial"/>
                <w:sz w:val="22"/>
                <w:szCs w:val="22"/>
                <w:lang w:val="en-US" w:eastAsia="zh-TW"/>
              </w:rPr>
              <w:t>organisations</w:t>
            </w:r>
            <w:proofErr w:type="spellEnd"/>
            <w:r w:rsidRPr="008E40CA">
              <w:rPr>
                <w:rFonts w:ascii="Arial" w:eastAsiaTheme="minorEastAsia" w:hAnsi="Arial" w:cs="Arial"/>
                <w:sz w:val="22"/>
                <w:szCs w:val="22"/>
                <w:lang w:val="en-US" w:eastAsia="zh-TW"/>
              </w:rPr>
              <w:t xml:space="preserve">, focusing on topics of renewable energy, </w:t>
            </w:r>
            <w:r w:rsidRPr="008E40CA">
              <w:rPr>
                <w:rFonts w:ascii="Arial" w:eastAsiaTheme="minorEastAsia" w:hAnsi="Arial" w:cs="Arial"/>
                <w:sz w:val="22"/>
                <w:szCs w:val="22"/>
                <w:lang w:val="en-US" w:eastAsia="zh-TW"/>
              </w:rPr>
              <w:lastRenderedPageBreak/>
              <w:t>energy poverty, rural electrification, sustainable development, and climate change mitigation and adaptation.  She has been an author for IPCC and IPBES.</w:t>
            </w:r>
          </w:p>
          <w:p w14:paraId="3C0DC7A3" w14:textId="77777777" w:rsidR="00E9389C" w:rsidRPr="008E40CA" w:rsidRDefault="00E9389C" w:rsidP="004828A0">
            <w:pPr>
              <w:jc w:val="both"/>
              <w:rPr>
                <w:rFonts w:ascii="Arial" w:hAnsi="Arial" w:cs="Arial"/>
                <w:b/>
                <w:sz w:val="22"/>
                <w:szCs w:val="22"/>
              </w:rPr>
            </w:pPr>
          </w:p>
          <w:p w14:paraId="79761F4B" w14:textId="77777777" w:rsidR="00E9389C" w:rsidRPr="008E40CA" w:rsidRDefault="00E9389C" w:rsidP="004828A0">
            <w:pPr>
              <w:jc w:val="both"/>
              <w:rPr>
                <w:rFonts w:ascii="Arial" w:hAnsi="Arial" w:cs="Arial"/>
                <w:b/>
                <w:sz w:val="22"/>
                <w:szCs w:val="22"/>
              </w:rPr>
            </w:pPr>
          </w:p>
          <w:p w14:paraId="2F0A8726" w14:textId="74198CC4" w:rsidR="00E9389C" w:rsidRPr="008E40CA" w:rsidRDefault="00E9389C" w:rsidP="004828A0">
            <w:pPr>
              <w:jc w:val="both"/>
              <w:rPr>
                <w:rFonts w:ascii="Arial" w:hAnsi="Arial" w:cs="Arial"/>
                <w:b/>
                <w:sz w:val="22"/>
                <w:szCs w:val="22"/>
                <w:u w:val="single"/>
              </w:rPr>
            </w:pPr>
            <w:r w:rsidRPr="008E40CA">
              <w:rPr>
                <w:rFonts w:ascii="Arial" w:hAnsi="Arial" w:cs="Arial"/>
                <w:b/>
                <w:sz w:val="22"/>
                <w:szCs w:val="22"/>
                <w:u w:val="single"/>
              </w:rPr>
              <w:t>Panellist 1</w:t>
            </w:r>
          </w:p>
          <w:p w14:paraId="06108ED4" w14:textId="0C8B9A02" w:rsidR="00E9389C" w:rsidRPr="008E40CA" w:rsidRDefault="0CD7B461" w:rsidP="0CD7B461">
            <w:pPr>
              <w:jc w:val="both"/>
              <w:rPr>
                <w:rFonts w:ascii="Arial" w:hAnsi="Arial" w:cs="Arial"/>
                <w:b/>
                <w:bCs/>
                <w:sz w:val="22"/>
                <w:szCs w:val="22"/>
              </w:rPr>
            </w:pPr>
            <w:r w:rsidRPr="008E40CA">
              <w:rPr>
                <w:rFonts w:ascii="Arial" w:hAnsi="Arial" w:cs="Arial"/>
                <w:b/>
                <w:bCs/>
                <w:sz w:val="22"/>
                <w:szCs w:val="22"/>
              </w:rPr>
              <w:t>Full Name:  Debora Ley</w:t>
            </w:r>
          </w:p>
          <w:p w14:paraId="4444092C" w14:textId="7F7D2BB8" w:rsidR="00E9389C" w:rsidRPr="008E40CA" w:rsidRDefault="5E4C37DB" w:rsidP="0CD7B461">
            <w:pPr>
              <w:jc w:val="both"/>
              <w:rPr>
                <w:rFonts w:ascii="Arial" w:hAnsi="Arial" w:cs="Arial"/>
                <w:b/>
                <w:bCs/>
                <w:sz w:val="22"/>
                <w:szCs w:val="22"/>
              </w:rPr>
            </w:pPr>
            <w:r w:rsidRPr="008E40CA">
              <w:rPr>
                <w:rFonts w:ascii="Arial" w:hAnsi="Arial" w:cs="Arial"/>
                <w:b/>
                <w:bCs/>
                <w:sz w:val="22"/>
                <w:szCs w:val="22"/>
              </w:rPr>
              <w:t>Organisation:  UN Economic Commission for Latin America and the Caribbean</w:t>
            </w:r>
          </w:p>
          <w:p w14:paraId="00CA4FC6" w14:textId="47A7F683" w:rsidR="00E9389C" w:rsidRPr="008E40CA" w:rsidRDefault="371A7984" w:rsidP="5E4C37DB">
            <w:pPr>
              <w:spacing w:after="240"/>
              <w:jc w:val="both"/>
              <w:rPr>
                <w:rFonts w:ascii="Arial" w:hAnsi="Arial" w:cs="Arial"/>
                <w:sz w:val="22"/>
                <w:szCs w:val="22"/>
                <w:lang w:val="en-US"/>
              </w:rPr>
            </w:pPr>
            <w:r w:rsidRPr="008E40CA">
              <w:rPr>
                <w:rFonts w:ascii="Arial" w:hAnsi="Arial" w:cs="Arial"/>
                <w:b/>
                <w:bCs/>
                <w:sz w:val="22"/>
                <w:szCs w:val="22"/>
              </w:rPr>
              <w:t xml:space="preserve">Bio   </w:t>
            </w:r>
            <w:r w:rsidRPr="008E40CA">
              <w:rPr>
                <w:rFonts w:ascii="Arial" w:eastAsiaTheme="minorEastAsia" w:hAnsi="Arial" w:cs="Arial"/>
                <w:sz w:val="22"/>
                <w:szCs w:val="22"/>
                <w:lang w:val="en-US" w:eastAsia="zh-TW"/>
              </w:rPr>
              <w:t xml:space="preserve">Dr. Debora Ley is Chief of the Energy and Natural Resources Unit of the UN ECLAC.  She has worked at Sandia National Laboratories and has been a consultant with numerous </w:t>
            </w:r>
            <w:proofErr w:type="spellStart"/>
            <w:r w:rsidRPr="008E40CA">
              <w:rPr>
                <w:rFonts w:ascii="Arial" w:eastAsiaTheme="minorEastAsia" w:hAnsi="Arial" w:cs="Arial"/>
                <w:sz w:val="22"/>
                <w:szCs w:val="22"/>
                <w:lang w:val="en-US" w:eastAsia="zh-TW"/>
              </w:rPr>
              <w:t>organisations</w:t>
            </w:r>
            <w:proofErr w:type="spellEnd"/>
            <w:r w:rsidRPr="008E40CA">
              <w:rPr>
                <w:rFonts w:ascii="Arial" w:eastAsiaTheme="minorEastAsia" w:hAnsi="Arial" w:cs="Arial"/>
                <w:sz w:val="22"/>
                <w:szCs w:val="22"/>
                <w:lang w:val="en-US" w:eastAsia="zh-TW"/>
              </w:rPr>
              <w:t>, focusing on topics of renewable energy, energy poverty, rural electrification, sustainable development, and climate change mitigation and adaptation.  She has been an author for IPCC and IPBES.</w:t>
            </w:r>
          </w:p>
          <w:p w14:paraId="3AEC2334" w14:textId="0C95B977" w:rsidR="00E9389C" w:rsidRPr="008E40CA" w:rsidRDefault="00E9389C" w:rsidP="5E4C37DB">
            <w:pPr>
              <w:jc w:val="both"/>
              <w:rPr>
                <w:rFonts w:ascii="Arial" w:hAnsi="Arial" w:cs="Arial"/>
                <w:b/>
                <w:bCs/>
                <w:sz w:val="22"/>
                <w:szCs w:val="22"/>
              </w:rPr>
            </w:pPr>
          </w:p>
          <w:p w14:paraId="7AE2BEC1" w14:textId="03571032" w:rsidR="004828A0" w:rsidRPr="008E40CA" w:rsidRDefault="0F8A48A5" w:rsidP="0F8A48A5">
            <w:pPr>
              <w:jc w:val="both"/>
              <w:rPr>
                <w:rFonts w:ascii="Arial" w:hAnsi="Arial" w:cs="Arial"/>
                <w:b/>
                <w:bCs/>
                <w:sz w:val="22"/>
                <w:szCs w:val="22"/>
              </w:rPr>
            </w:pPr>
            <w:r w:rsidRPr="008E40CA">
              <w:rPr>
                <w:rFonts w:ascii="Arial" w:hAnsi="Arial" w:cs="Arial"/>
                <w:b/>
                <w:bCs/>
                <w:sz w:val="22"/>
                <w:szCs w:val="22"/>
              </w:rPr>
              <w:t xml:space="preserve">Presentation </w:t>
            </w:r>
            <w:proofErr w:type="gramStart"/>
            <w:r w:rsidRPr="008E40CA">
              <w:rPr>
                <w:rFonts w:ascii="Arial" w:hAnsi="Arial" w:cs="Arial"/>
                <w:b/>
                <w:bCs/>
                <w:sz w:val="22"/>
                <w:szCs w:val="22"/>
              </w:rPr>
              <w:t>1</w:t>
            </w:r>
            <w:r w:rsidRPr="008E40CA">
              <w:rPr>
                <w:rFonts w:ascii="Arial" w:eastAsiaTheme="minorEastAsia" w:hAnsi="Arial" w:cs="Arial"/>
                <w:b/>
                <w:bCs/>
                <w:sz w:val="22"/>
                <w:szCs w:val="22"/>
                <w:lang w:eastAsia="zh-TW"/>
              </w:rPr>
              <w:t xml:space="preserve">  </w:t>
            </w:r>
            <w:r w:rsidRPr="008E40CA">
              <w:rPr>
                <w:rFonts w:ascii="Arial" w:eastAsiaTheme="minorEastAsia" w:hAnsi="Arial" w:cs="Arial"/>
                <w:b/>
                <w:bCs/>
                <w:sz w:val="22"/>
                <w:szCs w:val="22"/>
                <w:lang w:val="en-US" w:eastAsia="zh-TW"/>
              </w:rPr>
              <w:t>IPCC</w:t>
            </w:r>
            <w:proofErr w:type="gramEnd"/>
            <w:r w:rsidRPr="008E40CA">
              <w:rPr>
                <w:rFonts w:ascii="Arial" w:eastAsiaTheme="minorEastAsia" w:hAnsi="Arial" w:cs="Arial"/>
                <w:b/>
                <w:bCs/>
                <w:sz w:val="22"/>
                <w:szCs w:val="22"/>
                <w:lang w:val="en-US" w:eastAsia="zh-TW"/>
              </w:rPr>
              <w:t>-IPBES parallel but interwoven streams of assessment</w:t>
            </w:r>
            <w:r w:rsidRPr="008E40CA">
              <w:rPr>
                <w:rFonts w:ascii="Arial" w:eastAsiaTheme="minorEastAsia" w:hAnsi="Arial" w:cs="Arial"/>
                <w:b/>
                <w:bCs/>
                <w:sz w:val="22"/>
                <w:szCs w:val="22"/>
                <w:lang w:eastAsia="zh-TW"/>
              </w:rPr>
              <w:t xml:space="preserve"> </w:t>
            </w:r>
          </w:p>
          <w:p w14:paraId="6258320D" w14:textId="11BF76A4" w:rsidR="7B5A12A7" w:rsidRPr="008E40CA" w:rsidRDefault="7B5A12A7" w:rsidP="7B5A12A7">
            <w:pPr>
              <w:jc w:val="both"/>
              <w:rPr>
                <w:rFonts w:ascii="Arial" w:eastAsiaTheme="minorEastAsia" w:hAnsi="Arial" w:cs="Arial"/>
                <w:b/>
                <w:bCs/>
                <w:sz w:val="22"/>
                <w:szCs w:val="22"/>
                <w:lang w:eastAsia="zh-TW"/>
              </w:rPr>
            </w:pPr>
          </w:p>
          <w:p w14:paraId="0D4FF723" w14:textId="1E3A6ED5" w:rsidR="7B5A12A7" w:rsidRPr="008E40CA" w:rsidRDefault="5EA3FD9B" w:rsidP="371A7984">
            <w:pPr>
              <w:jc w:val="both"/>
              <w:rPr>
                <w:rFonts w:ascii="Arial" w:hAnsi="Arial" w:cs="Arial"/>
                <w:sz w:val="22"/>
                <w:szCs w:val="22"/>
              </w:rPr>
            </w:pPr>
            <w:r w:rsidRPr="008E40CA">
              <w:rPr>
                <w:rFonts w:ascii="Arial" w:eastAsiaTheme="minorEastAsia" w:hAnsi="Arial" w:cs="Arial"/>
                <w:sz w:val="22"/>
                <w:szCs w:val="22"/>
                <w:lang w:eastAsia="zh-TW"/>
              </w:rPr>
              <w:t xml:space="preserve">The IPCC and IPBES are assessing critical issues in parallel, with important points of overlap that if carefully connected can drive policy and action forward rapidly and more effectively.  Continuing to work in parallel implies needless duplication of effort and evidence and slower shifts in policy and action.  Ongoing structured IPBES-IPCC dialogue and coordination is therefore essential given converging topics and the </w:t>
            </w:r>
            <w:proofErr w:type="gramStart"/>
            <w:r w:rsidRPr="008E40CA">
              <w:rPr>
                <w:rFonts w:ascii="Arial" w:eastAsiaTheme="minorEastAsia" w:hAnsi="Arial" w:cs="Arial"/>
                <w:sz w:val="22"/>
                <w:szCs w:val="22"/>
                <w:lang w:eastAsia="zh-TW"/>
              </w:rPr>
              <w:t>manner in which</w:t>
            </w:r>
            <w:proofErr w:type="gramEnd"/>
            <w:r w:rsidRPr="008E40CA">
              <w:rPr>
                <w:rFonts w:ascii="Arial" w:eastAsiaTheme="minorEastAsia" w:hAnsi="Arial" w:cs="Arial"/>
                <w:sz w:val="22"/>
                <w:szCs w:val="22"/>
                <w:lang w:eastAsia="zh-TW"/>
              </w:rPr>
              <w:t xml:space="preserve"> similar topics are treated differently in throughout these assessments.  IPCC’s Seventh Assessment Cycle can make a vital contribution by explicitly taking into account IPBES findings, and the two most recent IPBES assessments in particular, the Nexus and Transformative Change Assessments, which in turn can also provide significant contributions to the 2nd Global Assessment of IPBES, as well as other forthcoming assessments, such as UNEP’s flagship Global Environment Outlook-7 and the World Ocean Assessment III.  </w:t>
            </w:r>
          </w:p>
          <w:p w14:paraId="05D043A0" w14:textId="77777777" w:rsidR="00105E39" w:rsidRPr="008E40CA" w:rsidRDefault="00105E39" w:rsidP="7B5A12A7">
            <w:pPr>
              <w:jc w:val="both"/>
              <w:rPr>
                <w:rFonts w:ascii="Arial" w:hAnsi="Arial" w:cs="Arial"/>
                <w:b/>
                <w:bCs/>
                <w:sz w:val="22"/>
                <w:szCs w:val="22"/>
              </w:rPr>
            </w:pPr>
          </w:p>
          <w:p w14:paraId="39E60377" w14:textId="77777777" w:rsidR="004828A0" w:rsidRPr="008E40CA" w:rsidRDefault="004828A0" w:rsidP="004828A0">
            <w:pPr>
              <w:jc w:val="both"/>
              <w:rPr>
                <w:rFonts w:ascii="Arial" w:hAnsi="Arial" w:cs="Arial"/>
                <w:b/>
                <w:sz w:val="22"/>
                <w:szCs w:val="22"/>
              </w:rPr>
            </w:pPr>
          </w:p>
          <w:p w14:paraId="74011FAB" w14:textId="561F9E73" w:rsidR="006D4A81" w:rsidRPr="008E40CA" w:rsidRDefault="006D4A81" w:rsidP="006D4A81">
            <w:pPr>
              <w:jc w:val="both"/>
              <w:rPr>
                <w:rFonts w:ascii="Arial" w:hAnsi="Arial" w:cs="Arial"/>
                <w:b/>
                <w:sz w:val="22"/>
                <w:szCs w:val="22"/>
                <w:u w:val="single"/>
              </w:rPr>
            </w:pPr>
            <w:r w:rsidRPr="008E40CA">
              <w:rPr>
                <w:rFonts w:ascii="Arial" w:hAnsi="Arial" w:cs="Arial"/>
                <w:b/>
                <w:sz w:val="22"/>
                <w:szCs w:val="22"/>
                <w:u w:val="single"/>
              </w:rPr>
              <w:t>Panellist 2</w:t>
            </w:r>
          </w:p>
          <w:p w14:paraId="6A28E63E" w14:textId="3989F1B4" w:rsidR="006D4A81" w:rsidRPr="008E40CA" w:rsidRDefault="12DB3FE3" w:rsidP="12DB3FE3">
            <w:pPr>
              <w:jc w:val="both"/>
              <w:rPr>
                <w:rFonts w:ascii="Arial" w:hAnsi="Arial" w:cs="Arial"/>
                <w:b/>
                <w:bCs/>
                <w:sz w:val="22"/>
                <w:szCs w:val="22"/>
              </w:rPr>
            </w:pPr>
            <w:r w:rsidRPr="008E40CA">
              <w:rPr>
                <w:rFonts w:ascii="Arial" w:hAnsi="Arial" w:cs="Arial"/>
                <w:b/>
                <w:bCs/>
                <w:sz w:val="22"/>
                <w:szCs w:val="22"/>
              </w:rPr>
              <w:t>Full Name:  Siri Eriksen</w:t>
            </w:r>
          </w:p>
          <w:p w14:paraId="3E15D3EE" w14:textId="5F8D7E1C" w:rsidR="006D4A81" w:rsidRPr="008E40CA" w:rsidRDefault="12DB3FE3" w:rsidP="12DB3FE3">
            <w:pPr>
              <w:jc w:val="both"/>
              <w:rPr>
                <w:rFonts w:ascii="Arial" w:hAnsi="Arial" w:cs="Arial"/>
                <w:b/>
                <w:bCs/>
                <w:sz w:val="22"/>
                <w:szCs w:val="22"/>
              </w:rPr>
            </w:pPr>
            <w:r w:rsidRPr="008E40CA">
              <w:rPr>
                <w:rFonts w:ascii="Arial" w:hAnsi="Arial" w:cs="Arial"/>
                <w:b/>
                <w:bCs/>
                <w:sz w:val="22"/>
                <w:szCs w:val="22"/>
              </w:rPr>
              <w:t>Organisation:  Norwegian University of Life Sciences</w:t>
            </w:r>
          </w:p>
          <w:p w14:paraId="66703184" w14:textId="3A6986F8" w:rsidR="006D4A81" w:rsidRPr="008E40CA" w:rsidRDefault="5E5A28CE" w:rsidP="6E87DFBB">
            <w:pPr>
              <w:jc w:val="both"/>
              <w:rPr>
                <w:rFonts w:ascii="Arial" w:hAnsi="Arial" w:cs="Arial"/>
                <w:b/>
                <w:bCs/>
                <w:sz w:val="22"/>
                <w:szCs w:val="22"/>
              </w:rPr>
            </w:pPr>
            <w:proofErr w:type="gramStart"/>
            <w:r w:rsidRPr="008E40CA">
              <w:rPr>
                <w:rFonts w:ascii="Arial" w:hAnsi="Arial" w:cs="Arial"/>
                <w:b/>
                <w:bCs/>
                <w:sz w:val="22"/>
                <w:szCs w:val="22"/>
              </w:rPr>
              <w:t xml:space="preserve">Bio  </w:t>
            </w:r>
            <w:r w:rsidRPr="008E40CA">
              <w:rPr>
                <w:rFonts w:ascii="Arial" w:hAnsi="Arial" w:cs="Arial"/>
                <w:sz w:val="22"/>
                <w:szCs w:val="22"/>
              </w:rPr>
              <w:t>Siri</w:t>
            </w:r>
            <w:proofErr w:type="gramEnd"/>
            <w:r w:rsidRPr="008E40CA">
              <w:rPr>
                <w:rFonts w:ascii="Arial" w:hAnsi="Arial" w:cs="Arial"/>
                <w:b/>
                <w:bCs/>
                <w:sz w:val="22"/>
                <w:szCs w:val="22"/>
              </w:rPr>
              <w:t xml:space="preserve"> </w:t>
            </w:r>
            <w:r w:rsidRPr="008E40CA">
              <w:rPr>
                <w:rFonts w:ascii="Arial" w:hAnsi="Arial" w:cs="Arial"/>
                <w:sz w:val="22"/>
                <w:szCs w:val="22"/>
              </w:rPr>
              <w:t>Eriksen is a Professor at the Norwegian University of Life Sciences.  Her research has focused on climate change adaptation, vulnerability, development, equity and justice.  Since IPCC’s AR6 she has focused on climate resilient development at different governance scales.  She has been an author for IPCC and IPBES.</w:t>
            </w:r>
          </w:p>
          <w:p w14:paraId="4B0A52C1" w14:textId="371D8DD2" w:rsidR="0F8A48A5" w:rsidRPr="008E40CA" w:rsidRDefault="0F8A48A5" w:rsidP="0F8A48A5">
            <w:pPr>
              <w:jc w:val="both"/>
              <w:rPr>
                <w:rFonts w:ascii="Arial" w:hAnsi="Arial" w:cs="Arial"/>
                <w:sz w:val="22"/>
                <w:szCs w:val="22"/>
              </w:rPr>
            </w:pPr>
          </w:p>
          <w:p w14:paraId="6535C224" w14:textId="4981AAEC" w:rsidR="5E5A28CE" w:rsidRPr="008E40CA" w:rsidRDefault="5E5A28CE" w:rsidP="5E5A28CE">
            <w:pPr>
              <w:jc w:val="both"/>
              <w:rPr>
                <w:rFonts w:ascii="Arial" w:hAnsi="Arial" w:cs="Arial"/>
                <w:sz w:val="22"/>
                <w:szCs w:val="22"/>
              </w:rPr>
            </w:pPr>
          </w:p>
          <w:p w14:paraId="271CE0FC" w14:textId="4482BE0E" w:rsidR="12DB3FE3" w:rsidRPr="008E40CA" w:rsidRDefault="0F8A48A5" w:rsidP="0F8A48A5">
            <w:pPr>
              <w:jc w:val="both"/>
              <w:rPr>
                <w:rFonts w:ascii="Arial" w:eastAsiaTheme="minorEastAsia" w:hAnsi="Arial" w:cs="Arial"/>
                <w:b/>
                <w:bCs/>
                <w:sz w:val="22"/>
                <w:szCs w:val="22"/>
                <w:lang w:val="en-US" w:eastAsia="zh-TW"/>
              </w:rPr>
            </w:pPr>
            <w:r w:rsidRPr="008E40CA">
              <w:rPr>
                <w:rFonts w:ascii="Arial" w:hAnsi="Arial" w:cs="Arial"/>
                <w:b/>
                <w:bCs/>
                <w:sz w:val="22"/>
                <w:szCs w:val="22"/>
              </w:rPr>
              <w:t>Presentatio</w:t>
            </w:r>
            <w:r w:rsidRPr="008E40CA">
              <w:rPr>
                <w:rFonts w:ascii="Arial" w:eastAsiaTheme="minorEastAsia" w:hAnsi="Arial" w:cs="Arial"/>
                <w:b/>
                <w:bCs/>
                <w:sz w:val="22"/>
                <w:szCs w:val="22"/>
                <w:lang w:eastAsia="zh-TW"/>
              </w:rPr>
              <w:t>n 2</w:t>
            </w:r>
            <w:r w:rsidR="008C692D">
              <w:rPr>
                <w:rFonts w:ascii="Arial" w:eastAsiaTheme="minorEastAsia" w:hAnsi="Arial" w:cs="Arial"/>
                <w:b/>
                <w:bCs/>
                <w:sz w:val="22"/>
                <w:szCs w:val="22"/>
                <w:lang w:eastAsia="zh-TW"/>
              </w:rPr>
              <w:t>:</w:t>
            </w:r>
            <w:r w:rsidRPr="008E40CA">
              <w:rPr>
                <w:rFonts w:ascii="Arial" w:eastAsiaTheme="minorEastAsia" w:hAnsi="Arial" w:cs="Arial"/>
                <w:b/>
                <w:bCs/>
                <w:sz w:val="22"/>
                <w:szCs w:val="22"/>
                <w:lang w:eastAsia="zh-TW"/>
              </w:rPr>
              <w:t xml:space="preserve">  Cor</w:t>
            </w:r>
            <w:r w:rsidRPr="008E40CA">
              <w:rPr>
                <w:rFonts w:ascii="Arial" w:eastAsiaTheme="minorEastAsia" w:hAnsi="Arial" w:cs="Arial"/>
                <w:b/>
                <w:bCs/>
                <w:sz w:val="22"/>
                <w:szCs w:val="22"/>
                <w:lang w:val="en-US" w:eastAsia="zh-TW"/>
              </w:rPr>
              <w:t>e imperatives for action from IPCC’s AR6</w:t>
            </w:r>
          </w:p>
          <w:p w14:paraId="5E336492" w14:textId="076BC8A2" w:rsidR="006D4A81" w:rsidRPr="008E40CA" w:rsidRDefault="006D4A81" w:rsidP="7B5A12A7">
            <w:pPr>
              <w:jc w:val="both"/>
              <w:rPr>
                <w:rFonts w:ascii="Arial" w:eastAsiaTheme="minorEastAsia" w:hAnsi="Arial" w:cs="Arial"/>
                <w:sz w:val="22"/>
                <w:szCs w:val="22"/>
                <w:lang w:val="en-US" w:eastAsia="zh-TW"/>
              </w:rPr>
            </w:pPr>
          </w:p>
          <w:p w14:paraId="2AAF2F39" w14:textId="5DDA6F0E" w:rsidR="732BB9DD" w:rsidRPr="008E40CA" w:rsidRDefault="732BB9DD" w:rsidP="732BB9DD">
            <w:pPr>
              <w:jc w:val="both"/>
              <w:rPr>
                <w:rFonts w:ascii="Arial" w:eastAsiaTheme="minorEastAsia" w:hAnsi="Arial" w:cs="Arial"/>
                <w:sz w:val="22"/>
                <w:szCs w:val="22"/>
                <w:lang w:val="en-US" w:eastAsia="zh-TW"/>
              </w:rPr>
            </w:pPr>
            <w:r w:rsidRPr="008E40CA">
              <w:rPr>
                <w:rFonts w:ascii="Arial" w:eastAsiaTheme="minorEastAsia" w:hAnsi="Arial" w:cs="Arial"/>
                <w:sz w:val="22"/>
                <w:szCs w:val="22"/>
                <w:lang w:val="en-US" w:eastAsia="zh-TW"/>
              </w:rPr>
              <w:t xml:space="preserve">IPCC’s Sixth Assessment Report for Working Group II (Impacts, Adaptation, and Vulnerability) made significant progress in the concept of Climate Resilient Development, which first appeared in IPCC’s Fifth Assessment Cycle.  In AR6, IPCC situates climate action within sustainable development and as intertwined with ecosystem stewardship and social equity, showing how climate action can shift development pathways. It also highlights that delay makes the changes necessary to achieve a just, sustainable, climate resilient future much more difficult. The AR6 discussion of CRD lays out the critical conditions that enable or constrain decisions along Climate Resilient Development Pathways, emphasizing the urgency of putting in place conditions to enable action.  It also </w:t>
            </w:r>
            <w:proofErr w:type="spellStart"/>
            <w:r w:rsidRPr="008E40CA">
              <w:rPr>
                <w:rFonts w:ascii="Arial" w:eastAsiaTheme="minorEastAsia" w:hAnsi="Arial" w:cs="Arial"/>
                <w:sz w:val="22"/>
                <w:szCs w:val="22"/>
                <w:lang w:val="en-US" w:eastAsia="zh-TW"/>
              </w:rPr>
              <w:t>emphasises</w:t>
            </w:r>
            <w:proofErr w:type="spellEnd"/>
            <w:r w:rsidRPr="008E40CA">
              <w:rPr>
                <w:rFonts w:ascii="Arial" w:eastAsiaTheme="minorEastAsia" w:hAnsi="Arial" w:cs="Arial"/>
                <w:sz w:val="22"/>
                <w:szCs w:val="22"/>
                <w:lang w:val="en-US" w:eastAsia="zh-TW"/>
              </w:rPr>
              <w:t xml:space="preserve"> the role of all actors within </w:t>
            </w:r>
            <w:r w:rsidRPr="008E40CA">
              <w:rPr>
                <w:rFonts w:ascii="Arial" w:eastAsiaTheme="minorEastAsia" w:hAnsi="Arial" w:cs="Arial"/>
                <w:sz w:val="22"/>
                <w:szCs w:val="22"/>
                <w:lang w:val="en-US" w:eastAsia="zh-TW"/>
              </w:rPr>
              <w:lastRenderedPageBreak/>
              <w:t xml:space="preserve">different arenas of engagement, through which decisions are made. </w:t>
            </w:r>
            <w:r w:rsidRPr="008E40CA">
              <w:rPr>
                <w:rFonts w:ascii="Arial" w:eastAsia="Calibri" w:hAnsi="Arial" w:cs="Arial"/>
                <w:sz w:val="22"/>
                <w:szCs w:val="22"/>
                <w:lang w:val="en-US"/>
              </w:rPr>
              <w:t xml:space="preserve">A key link between the IPCC and IPBES Nexus Assessment is the focus on the importance of how governance actors make decisions. The IPBES Nexus Assessment explores this topic in more depth, assessing evidence of the role of different knowledges and values, </w:t>
            </w:r>
            <w:proofErr w:type="gramStart"/>
            <w:r w:rsidRPr="008E40CA">
              <w:rPr>
                <w:rFonts w:ascii="Arial" w:eastAsia="Calibri" w:hAnsi="Arial" w:cs="Arial"/>
                <w:sz w:val="22"/>
                <w:szCs w:val="22"/>
                <w:lang w:val="en-US"/>
              </w:rPr>
              <w:t>in particular</w:t>
            </w:r>
            <w:proofErr w:type="gramEnd"/>
            <w:r w:rsidRPr="008E40CA">
              <w:rPr>
                <w:rFonts w:ascii="Arial" w:eastAsia="Calibri" w:hAnsi="Arial" w:cs="Arial"/>
                <w:sz w:val="22"/>
                <w:szCs w:val="22"/>
                <w:lang w:val="en-US"/>
              </w:rPr>
              <w:t xml:space="preserve"> those of Indigenous peoples and local communities, human-nature interconnectedness. Nexus governance also highlights the processes through which diverging values and perspectives of multiple governance actors are navigated as part of more holistic decision-making required to address both climate change and biodiversity loss, along with water scarcity, food system sustainability and health problems. Nexus governance also emphasizes scaling of action, providing important guidance on how one could </w:t>
            </w:r>
            <w:proofErr w:type="spellStart"/>
            <w:r w:rsidRPr="008E40CA">
              <w:rPr>
                <w:rFonts w:ascii="Arial" w:eastAsia="Calibri" w:hAnsi="Arial" w:cs="Arial"/>
                <w:sz w:val="22"/>
                <w:szCs w:val="22"/>
                <w:lang w:val="en-US"/>
              </w:rPr>
              <w:t>localise</w:t>
            </w:r>
            <w:proofErr w:type="spellEnd"/>
            <w:r w:rsidRPr="008E40CA">
              <w:rPr>
                <w:rFonts w:ascii="Arial" w:eastAsia="Calibri" w:hAnsi="Arial" w:cs="Arial"/>
                <w:sz w:val="22"/>
                <w:szCs w:val="22"/>
                <w:lang w:val="en-US"/>
              </w:rPr>
              <w:t xml:space="preserve"> climate action (scaling down) as well as scaling up and out (institutionalizing and applying to new places) and scaling deep (changing unsustainable relationships and worldviews).</w:t>
            </w:r>
          </w:p>
          <w:p w14:paraId="56673CEF" w14:textId="52BF4663" w:rsidR="006D4A81" w:rsidRPr="008E40CA" w:rsidRDefault="006D4A81" w:rsidP="7B5A12A7">
            <w:pPr>
              <w:jc w:val="both"/>
              <w:rPr>
                <w:rFonts w:ascii="Arial" w:hAnsi="Arial" w:cs="Arial"/>
                <w:b/>
                <w:bCs/>
                <w:sz w:val="22"/>
                <w:szCs w:val="22"/>
              </w:rPr>
            </w:pPr>
          </w:p>
          <w:p w14:paraId="293CCF03" w14:textId="28D07BF5" w:rsidR="006D4A81" w:rsidRPr="008E40CA" w:rsidRDefault="006D4A81" w:rsidP="7B5A12A7">
            <w:pPr>
              <w:jc w:val="both"/>
              <w:rPr>
                <w:rFonts w:ascii="Arial" w:hAnsi="Arial" w:cs="Arial"/>
                <w:b/>
                <w:bCs/>
                <w:sz w:val="22"/>
                <w:szCs w:val="22"/>
              </w:rPr>
            </w:pPr>
          </w:p>
          <w:p w14:paraId="0239AC51" w14:textId="31304087" w:rsidR="006D4A81" w:rsidRPr="008E40CA" w:rsidRDefault="7B5A12A7" w:rsidP="7B5A12A7">
            <w:pPr>
              <w:jc w:val="both"/>
              <w:rPr>
                <w:rFonts w:ascii="Arial" w:hAnsi="Arial" w:cs="Arial"/>
                <w:b/>
                <w:bCs/>
                <w:sz w:val="22"/>
                <w:szCs w:val="22"/>
                <w:u w:val="single"/>
              </w:rPr>
            </w:pPr>
            <w:r w:rsidRPr="008E40CA">
              <w:rPr>
                <w:rFonts w:ascii="Arial" w:hAnsi="Arial" w:cs="Arial"/>
                <w:b/>
                <w:bCs/>
                <w:sz w:val="22"/>
                <w:szCs w:val="22"/>
                <w:u w:val="single"/>
              </w:rPr>
              <w:t>Panellist 3</w:t>
            </w:r>
          </w:p>
          <w:p w14:paraId="79944184" w14:textId="7FAD8959" w:rsidR="006D4A81" w:rsidRPr="008E40CA" w:rsidRDefault="63C85EFE" w:rsidP="63C85EFE">
            <w:pPr>
              <w:jc w:val="both"/>
              <w:rPr>
                <w:rFonts w:ascii="Arial" w:hAnsi="Arial" w:cs="Arial"/>
                <w:b/>
                <w:bCs/>
                <w:sz w:val="22"/>
                <w:szCs w:val="22"/>
              </w:rPr>
            </w:pPr>
            <w:r w:rsidRPr="008E40CA">
              <w:rPr>
                <w:rFonts w:ascii="Arial" w:hAnsi="Arial" w:cs="Arial"/>
                <w:b/>
                <w:bCs/>
                <w:sz w:val="22"/>
                <w:szCs w:val="22"/>
              </w:rPr>
              <w:t>Full Name:  Ed Carr</w:t>
            </w:r>
          </w:p>
          <w:p w14:paraId="47A25798" w14:textId="1A7A6460" w:rsidR="006D4A81" w:rsidRPr="008E40CA" w:rsidRDefault="63C85EFE" w:rsidP="63C85EFE">
            <w:pPr>
              <w:jc w:val="both"/>
              <w:rPr>
                <w:rFonts w:ascii="Arial" w:hAnsi="Arial" w:cs="Arial"/>
                <w:b/>
                <w:bCs/>
                <w:sz w:val="22"/>
                <w:szCs w:val="22"/>
              </w:rPr>
            </w:pPr>
            <w:r w:rsidRPr="008E40CA">
              <w:rPr>
                <w:rFonts w:ascii="Arial" w:hAnsi="Arial" w:cs="Arial"/>
                <w:b/>
                <w:bCs/>
                <w:sz w:val="22"/>
                <w:szCs w:val="22"/>
              </w:rPr>
              <w:t>Organisation:  Stockholm Environment Institute</w:t>
            </w:r>
          </w:p>
          <w:p w14:paraId="61B51CA2" w14:textId="0A23E335" w:rsidR="006D4A81" w:rsidRPr="008E40CA" w:rsidRDefault="371A7984" w:rsidP="7BAA6EDD">
            <w:pPr>
              <w:spacing w:after="160" w:line="276" w:lineRule="auto"/>
              <w:jc w:val="both"/>
              <w:rPr>
                <w:rFonts w:ascii="Arial" w:hAnsi="Arial" w:cs="Arial"/>
                <w:b/>
                <w:bCs/>
                <w:sz w:val="22"/>
                <w:szCs w:val="22"/>
              </w:rPr>
            </w:pPr>
            <w:proofErr w:type="gramStart"/>
            <w:r w:rsidRPr="008E40CA">
              <w:rPr>
                <w:rFonts w:ascii="Arial" w:hAnsi="Arial" w:cs="Arial"/>
                <w:b/>
                <w:bCs/>
                <w:sz w:val="22"/>
                <w:szCs w:val="22"/>
              </w:rPr>
              <w:t xml:space="preserve">Bio  </w:t>
            </w:r>
            <w:r w:rsidRPr="008E40CA">
              <w:rPr>
                <w:rFonts w:ascii="Arial" w:eastAsiaTheme="minorEastAsia" w:hAnsi="Arial" w:cs="Arial"/>
                <w:sz w:val="22"/>
                <w:szCs w:val="22"/>
                <w:lang w:eastAsia="zh-TW"/>
              </w:rPr>
              <w:t>Dr.</w:t>
            </w:r>
            <w:proofErr w:type="gramEnd"/>
            <w:r w:rsidRPr="008E40CA">
              <w:rPr>
                <w:rFonts w:ascii="Arial" w:eastAsiaTheme="minorEastAsia" w:hAnsi="Arial" w:cs="Arial"/>
                <w:sz w:val="22"/>
                <w:szCs w:val="22"/>
                <w:lang w:eastAsia="zh-TW"/>
              </w:rPr>
              <w:t xml:space="preserve"> </w:t>
            </w:r>
            <w:r w:rsidRPr="008E40CA">
              <w:rPr>
                <w:rFonts w:ascii="Arial" w:eastAsiaTheme="minorEastAsia" w:hAnsi="Arial" w:cs="Arial"/>
                <w:sz w:val="22"/>
                <w:szCs w:val="22"/>
                <w:lang w:val="en-US" w:eastAsia="zh-TW"/>
              </w:rPr>
              <w:t>Carr is Centre Director and Senior Scientist at SEI US. His research has focused on global development, agrarian livelihoods, adaptation to climate change, and the changing global environment.  His current work focuses on understanding and addressing challenges emerging at the intersection of adaptation, resilience and development.  He’s been an author for IPCC and IPBES.</w:t>
            </w:r>
          </w:p>
          <w:p w14:paraId="3A074FB1" w14:textId="4BB03E0F" w:rsidR="006D4A81" w:rsidRPr="008E40CA" w:rsidRDefault="006D4A81" w:rsidP="7BAA6EDD">
            <w:pPr>
              <w:jc w:val="both"/>
              <w:rPr>
                <w:rFonts w:ascii="Arial" w:hAnsi="Arial" w:cs="Arial"/>
                <w:b/>
                <w:bCs/>
                <w:sz w:val="22"/>
                <w:szCs w:val="22"/>
              </w:rPr>
            </w:pPr>
          </w:p>
          <w:p w14:paraId="4588FB3D" w14:textId="188EC142" w:rsidR="006D4A81" w:rsidRPr="008E40CA" w:rsidRDefault="7B5A12A7" w:rsidP="63C85EFE">
            <w:pPr>
              <w:jc w:val="both"/>
              <w:rPr>
                <w:rFonts w:ascii="Arial" w:eastAsia="Arial" w:hAnsi="Arial" w:cs="Arial"/>
                <w:sz w:val="22"/>
                <w:szCs w:val="22"/>
                <w:lang w:val="en-US"/>
              </w:rPr>
            </w:pPr>
            <w:r w:rsidRPr="008E40CA">
              <w:rPr>
                <w:rFonts w:ascii="Arial" w:hAnsi="Arial" w:cs="Arial"/>
                <w:b/>
                <w:bCs/>
                <w:sz w:val="22"/>
                <w:szCs w:val="22"/>
              </w:rPr>
              <w:t>Presentation 3</w:t>
            </w:r>
            <w:r w:rsidR="008C692D">
              <w:rPr>
                <w:rFonts w:ascii="Arial" w:hAnsi="Arial" w:cs="Arial"/>
                <w:b/>
                <w:bCs/>
                <w:sz w:val="22"/>
                <w:szCs w:val="22"/>
              </w:rPr>
              <w:t>:</w:t>
            </w:r>
            <w:r w:rsidRPr="008E40CA">
              <w:rPr>
                <w:rFonts w:ascii="Arial" w:hAnsi="Arial" w:cs="Arial"/>
                <w:b/>
                <w:bCs/>
                <w:sz w:val="22"/>
                <w:szCs w:val="22"/>
              </w:rPr>
              <w:t xml:space="preserve">  </w:t>
            </w:r>
            <w:r w:rsidRPr="008E40CA">
              <w:rPr>
                <w:rFonts w:ascii="Arial" w:eastAsia="Arial" w:hAnsi="Arial" w:cs="Arial"/>
                <w:b/>
                <w:bCs/>
                <w:sz w:val="22"/>
                <w:szCs w:val="22"/>
                <w:lang w:val="en-US"/>
              </w:rPr>
              <w:t>Core imperatives for action from Transformation Report</w:t>
            </w:r>
          </w:p>
          <w:p w14:paraId="33B43505" w14:textId="77777777" w:rsidR="006D4A81" w:rsidRPr="008E40CA" w:rsidRDefault="006D4A81" w:rsidP="7B5A12A7">
            <w:pPr>
              <w:jc w:val="both"/>
              <w:rPr>
                <w:rFonts w:ascii="Arial" w:hAnsi="Arial" w:cs="Arial"/>
                <w:b/>
                <w:bCs/>
                <w:sz w:val="22"/>
                <w:szCs w:val="22"/>
              </w:rPr>
            </w:pPr>
          </w:p>
          <w:p w14:paraId="56575EDD" w14:textId="64EE4A66" w:rsidR="7B5A12A7" w:rsidRPr="008E40CA" w:rsidRDefault="371A7984" w:rsidP="371A7984">
            <w:pPr>
              <w:spacing w:after="240" w:line="259" w:lineRule="auto"/>
              <w:jc w:val="both"/>
              <w:rPr>
                <w:rFonts w:ascii="Arial" w:eastAsiaTheme="minorEastAsia" w:hAnsi="Arial" w:cs="Arial"/>
                <w:sz w:val="22"/>
                <w:szCs w:val="22"/>
                <w:lang w:val="en-US" w:eastAsia="zh-TW"/>
              </w:rPr>
            </w:pPr>
            <w:r w:rsidRPr="008E40CA">
              <w:rPr>
                <w:rFonts w:ascii="Arial" w:eastAsiaTheme="minorEastAsia" w:hAnsi="Arial" w:cs="Arial"/>
                <w:sz w:val="22"/>
                <w:szCs w:val="22"/>
                <w:lang w:val="en-US" w:eastAsia="zh-TW"/>
              </w:rPr>
              <w:t xml:space="preserve">The Transformative Change Assessment identifies challenges to achieving the transformations needed for climate and development action.  We are now faced with the need to identify and implement transformative changes in how we live in the world to achieve the futures we want. TCA identifies five broad challenges, which manifest as 20 specific barriers, standing in the way of needed transformations. Efforts to address each of these barriers present entry points to addressing the larger underlying challenges as they manifest in specific contexts. TCA also identifies 5 complementary strategies, which contain 22 separate leverage points which can be taken up through the arenas of engagement identified in IPCC’s AR6, to bring about transformations needed in specific contexts.  </w:t>
            </w:r>
          </w:p>
          <w:p w14:paraId="41CA1FFB" w14:textId="77777777" w:rsidR="006D4A81" w:rsidRPr="008E40CA" w:rsidRDefault="006D4A81" w:rsidP="0F8A48A5">
            <w:pPr>
              <w:jc w:val="both"/>
              <w:rPr>
                <w:rFonts w:ascii="Arial" w:eastAsiaTheme="minorEastAsia" w:hAnsi="Arial" w:cs="Arial"/>
                <w:sz w:val="22"/>
                <w:szCs w:val="22"/>
                <w:lang w:val="en-CA" w:eastAsia="zh-TW"/>
              </w:rPr>
            </w:pPr>
          </w:p>
          <w:p w14:paraId="10154577" w14:textId="374EA0C8" w:rsidR="00B94D66" w:rsidRPr="008E40CA" w:rsidRDefault="3B38461B" w:rsidP="3B38461B">
            <w:pPr>
              <w:spacing w:line="259" w:lineRule="auto"/>
              <w:jc w:val="both"/>
              <w:rPr>
                <w:rFonts w:ascii="Arial" w:eastAsiaTheme="minorEastAsia" w:hAnsi="Arial" w:cs="Arial"/>
                <w:b/>
                <w:bCs/>
                <w:sz w:val="22"/>
                <w:szCs w:val="22"/>
                <w:lang w:eastAsia="zh-TW"/>
              </w:rPr>
            </w:pPr>
            <w:r w:rsidRPr="008E40CA">
              <w:rPr>
                <w:rFonts w:ascii="Arial" w:eastAsiaTheme="minorEastAsia" w:hAnsi="Arial" w:cs="Arial"/>
                <w:b/>
                <w:bCs/>
                <w:sz w:val="22"/>
                <w:szCs w:val="22"/>
                <w:lang w:eastAsia="zh-TW"/>
              </w:rPr>
              <w:t>Panellist 4</w:t>
            </w:r>
          </w:p>
          <w:p w14:paraId="6CB1E989" w14:textId="3CE77DB4" w:rsidR="00B94D66" w:rsidRPr="008E40CA" w:rsidRDefault="3B38461B" w:rsidP="3B38461B">
            <w:pPr>
              <w:spacing w:line="259" w:lineRule="auto"/>
              <w:jc w:val="both"/>
              <w:rPr>
                <w:rFonts w:ascii="Arial" w:eastAsiaTheme="minorEastAsia" w:hAnsi="Arial" w:cs="Arial"/>
                <w:b/>
                <w:bCs/>
                <w:sz w:val="22"/>
                <w:szCs w:val="22"/>
                <w:lang w:eastAsia="zh-TW"/>
              </w:rPr>
            </w:pPr>
            <w:r w:rsidRPr="008E40CA">
              <w:rPr>
                <w:rFonts w:ascii="Arial" w:eastAsiaTheme="minorEastAsia" w:hAnsi="Arial" w:cs="Arial"/>
                <w:b/>
                <w:bCs/>
                <w:sz w:val="22"/>
                <w:szCs w:val="22"/>
                <w:lang w:eastAsia="zh-TW"/>
              </w:rPr>
              <w:t>Full Name:  Ralf Seppelt</w:t>
            </w:r>
          </w:p>
          <w:p w14:paraId="2EA2C13E" w14:textId="3F3F5E56" w:rsidR="00B94D66" w:rsidRPr="008E40CA" w:rsidRDefault="78B350C7" w:rsidP="78B350C7">
            <w:pPr>
              <w:spacing w:line="259" w:lineRule="auto"/>
              <w:jc w:val="both"/>
              <w:rPr>
                <w:rFonts w:ascii="Arial" w:eastAsiaTheme="minorEastAsia" w:hAnsi="Arial" w:cs="Arial"/>
                <w:b/>
                <w:bCs/>
                <w:sz w:val="22"/>
                <w:szCs w:val="22"/>
                <w:lang w:eastAsia="zh-TW"/>
              </w:rPr>
            </w:pPr>
            <w:r w:rsidRPr="008E40CA">
              <w:rPr>
                <w:rFonts w:ascii="Arial" w:eastAsiaTheme="minorEastAsia" w:hAnsi="Arial" w:cs="Arial"/>
                <w:b/>
                <w:bCs/>
                <w:sz w:val="22"/>
                <w:szCs w:val="22"/>
                <w:lang w:eastAsia="zh-TW"/>
              </w:rPr>
              <w:t xml:space="preserve">Organisation:  Luxembourg Center for Socio-Environmental Systems, </w:t>
            </w:r>
            <w:r w:rsidRPr="008E40CA">
              <w:rPr>
                <w:rFonts w:ascii="Arial" w:eastAsia="Calibri" w:hAnsi="Arial" w:cs="Arial"/>
                <w:b/>
                <w:bCs/>
                <w:sz w:val="22"/>
                <w:szCs w:val="22"/>
                <w:lang w:val="en-CA"/>
              </w:rPr>
              <w:t>University of Luxembourg</w:t>
            </w:r>
          </w:p>
          <w:p w14:paraId="06A43C6F" w14:textId="4007F1D8" w:rsidR="00B94D66" w:rsidRPr="008E40CA" w:rsidRDefault="45E2BC2E" w:rsidP="78B350C7">
            <w:pPr>
              <w:spacing w:after="240"/>
              <w:jc w:val="both"/>
              <w:rPr>
                <w:rFonts w:ascii="Arial" w:eastAsiaTheme="minorEastAsia" w:hAnsi="Arial" w:cs="Arial"/>
                <w:sz w:val="22"/>
                <w:szCs w:val="22"/>
                <w:lang w:val="en-CA" w:eastAsia="zh-TW"/>
              </w:rPr>
            </w:pPr>
            <w:r w:rsidRPr="008E40CA">
              <w:rPr>
                <w:rFonts w:ascii="Arial" w:eastAsiaTheme="minorEastAsia" w:hAnsi="Arial" w:cs="Arial"/>
                <w:b/>
                <w:bCs/>
                <w:sz w:val="22"/>
                <w:szCs w:val="22"/>
                <w:lang w:eastAsia="zh-TW"/>
              </w:rPr>
              <w:t xml:space="preserve">Bio </w:t>
            </w:r>
            <w:r w:rsidRPr="008E40CA">
              <w:rPr>
                <w:rFonts w:ascii="Arial" w:eastAsiaTheme="minorEastAsia" w:hAnsi="Arial" w:cs="Arial"/>
                <w:sz w:val="22"/>
                <w:szCs w:val="22"/>
                <w:lang w:eastAsia="zh-TW"/>
              </w:rPr>
              <w:t xml:space="preserve">Prof. Seppelt is an environmental scientist, whose research focuses on renewable resource management, biodiversity, and socio-ecological systems.  He has led the research unit “Ecosystems of the Future” at the Helmholtz Centre for Environmental Research – UFZ in Leipzig, Germany and has become Founding Director for Centre for </w:t>
            </w:r>
            <w:r w:rsidRPr="008E40CA">
              <w:rPr>
                <w:rFonts w:ascii="Arial" w:eastAsiaTheme="minorEastAsia" w:hAnsi="Arial" w:cs="Arial"/>
                <w:sz w:val="22"/>
                <w:szCs w:val="22"/>
                <w:lang w:eastAsia="zh-TW"/>
              </w:rPr>
              <w:lastRenderedPageBreak/>
              <w:t>Socio-Environmental Systems of the University of Luxembourg.  He’s also an IPBES author.</w:t>
            </w:r>
          </w:p>
          <w:p w14:paraId="42C2B511" w14:textId="57FE0206" w:rsidR="00B94D66" w:rsidRPr="008E40CA" w:rsidRDefault="00B94D66" w:rsidP="0F8A48A5">
            <w:pPr>
              <w:jc w:val="both"/>
              <w:rPr>
                <w:rFonts w:ascii="Arial" w:eastAsiaTheme="minorEastAsia" w:hAnsi="Arial" w:cs="Arial"/>
                <w:sz w:val="22"/>
                <w:szCs w:val="22"/>
                <w:lang w:eastAsia="zh-TW"/>
              </w:rPr>
            </w:pPr>
          </w:p>
          <w:p w14:paraId="09A0A3D1" w14:textId="4BD20189" w:rsidR="00B94D66" w:rsidRPr="008E40CA" w:rsidRDefault="3B38461B" w:rsidP="3B38461B">
            <w:pPr>
              <w:jc w:val="both"/>
              <w:rPr>
                <w:rFonts w:ascii="Arial" w:hAnsi="Arial" w:cs="Arial"/>
                <w:b/>
                <w:bCs/>
                <w:sz w:val="22"/>
                <w:szCs w:val="22"/>
              </w:rPr>
            </w:pPr>
            <w:r w:rsidRPr="008E40CA">
              <w:rPr>
                <w:rFonts w:ascii="Arial" w:eastAsiaTheme="minorEastAsia" w:hAnsi="Arial" w:cs="Arial"/>
                <w:b/>
                <w:bCs/>
                <w:sz w:val="22"/>
                <w:szCs w:val="22"/>
                <w:lang w:eastAsia="zh-TW"/>
              </w:rPr>
              <w:t>Presentation 4</w:t>
            </w:r>
            <w:r w:rsidR="008C692D">
              <w:rPr>
                <w:rFonts w:ascii="Arial" w:eastAsiaTheme="minorEastAsia" w:hAnsi="Arial" w:cs="Arial"/>
                <w:b/>
                <w:bCs/>
                <w:sz w:val="22"/>
                <w:szCs w:val="22"/>
                <w:lang w:eastAsia="zh-TW"/>
              </w:rPr>
              <w:t>:</w:t>
            </w:r>
            <w:r w:rsidRPr="008E40CA">
              <w:rPr>
                <w:rFonts w:ascii="Arial" w:eastAsiaTheme="minorEastAsia" w:hAnsi="Arial" w:cs="Arial"/>
                <w:b/>
                <w:bCs/>
                <w:sz w:val="22"/>
                <w:szCs w:val="22"/>
                <w:lang w:eastAsia="zh-TW"/>
              </w:rPr>
              <w:t xml:space="preserve">  Core Imperatives for Action from the IPBES Nexus Assessment</w:t>
            </w:r>
          </w:p>
          <w:p w14:paraId="1C3386A0" w14:textId="68A3B703" w:rsidR="08F15DE7" w:rsidRPr="008E40CA" w:rsidRDefault="08F15DE7" w:rsidP="0F8A48A5">
            <w:pPr>
              <w:pStyle w:val="ListParagraph"/>
              <w:ind w:left="360"/>
              <w:jc w:val="both"/>
              <w:rPr>
                <w:rFonts w:ascii="Arial" w:eastAsiaTheme="minorEastAsia" w:hAnsi="Arial" w:cs="Arial"/>
                <w:sz w:val="22"/>
                <w:szCs w:val="22"/>
                <w:lang w:val="en-US" w:eastAsia="zh-TW"/>
              </w:rPr>
            </w:pPr>
          </w:p>
          <w:p w14:paraId="090060DB" w14:textId="50944915" w:rsidR="031EA70F" w:rsidRPr="008E40CA" w:rsidRDefault="59478843" w:rsidP="3B38461B">
            <w:pPr>
              <w:spacing w:line="257" w:lineRule="auto"/>
              <w:jc w:val="both"/>
              <w:rPr>
                <w:rFonts w:ascii="Arial" w:eastAsiaTheme="minorEastAsia" w:hAnsi="Arial" w:cs="Arial"/>
                <w:sz w:val="22"/>
                <w:szCs w:val="22"/>
                <w:lang w:val="en-US" w:eastAsia="zh-TW"/>
              </w:rPr>
            </w:pPr>
            <w:r w:rsidRPr="008E40CA">
              <w:rPr>
                <w:rFonts w:ascii="Arial" w:eastAsiaTheme="minorEastAsia" w:hAnsi="Arial" w:cs="Arial"/>
                <w:sz w:val="22"/>
                <w:szCs w:val="22"/>
                <w:lang w:val="en-US" w:eastAsia="zh-TW"/>
              </w:rPr>
              <w:t xml:space="preserve">The assessment introduces the concept of </w:t>
            </w:r>
            <w:proofErr w:type="gramStart"/>
            <w:r w:rsidRPr="008E40CA">
              <w:rPr>
                <w:rFonts w:ascii="Arial" w:eastAsiaTheme="minorEastAsia" w:hAnsi="Arial" w:cs="Arial"/>
                <w:sz w:val="22"/>
                <w:szCs w:val="22"/>
                <w:lang w:val="en-US" w:eastAsia="zh-TW"/>
              </w:rPr>
              <w:t>nexus</w:t>
            </w:r>
            <w:proofErr w:type="gramEnd"/>
            <w:r w:rsidRPr="008E40CA">
              <w:rPr>
                <w:rFonts w:ascii="Arial" w:eastAsiaTheme="minorEastAsia" w:hAnsi="Arial" w:cs="Arial"/>
                <w:sz w:val="22"/>
                <w:szCs w:val="22"/>
                <w:lang w:val="en-US" w:eastAsia="zh-TW"/>
              </w:rPr>
              <w:t xml:space="preserve"> governance, which is at the heart of making societal choices and actions to enable CRD and transformative nexus development, </w:t>
            </w:r>
            <w:proofErr w:type="gramStart"/>
            <w:r w:rsidRPr="008E40CA">
              <w:rPr>
                <w:rFonts w:ascii="Arial" w:eastAsiaTheme="minorEastAsia" w:hAnsi="Arial" w:cs="Arial"/>
                <w:sz w:val="22"/>
                <w:szCs w:val="22"/>
                <w:lang w:val="en-US" w:eastAsia="zh-TW"/>
              </w:rPr>
              <w:t>taking into account</w:t>
            </w:r>
            <w:proofErr w:type="gramEnd"/>
            <w:r w:rsidRPr="008E40CA">
              <w:rPr>
                <w:rFonts w:ascii="Arial" w:eastAsiaTheme="minorEastAsia" w:hAnsi="Arial" w:cs="Arial"/>
                <w:sz w:val="22"/>
                <w:szCs w:val="22"/>
                <w:lang w:val="en-US" w:eastAsia="zh-TW"/>
              </w:rPr>
              <w:t xml:space="preserve"> the nexus of people and the planet.  We explain how </w:t>
            </w:r>
            <w:r w:rsidRPr="008E40CA">
              <w:rPr>
                <w:rFonts w:ascii="Arial" w:eastAsiaTheme="minorEastAsia" w:hAnsi="Arial" w:cs="Arial"/>
                <w:sz w:val="22"/>
                <w:szCs w:val="22"/>
                <w:lang w:eastAsia="zh-TW"/>
              </w:rPr>
              <w:t xml:space="preserve">nexus governance provides an approach for navigating real world challenges – which are complex, dynamic, contested, deal with an uncertain future, and urgent. It is not a ‘toolbox’ for technical planning and decision-making – though it helps improve technical analysis and decision-making. The Nexus Assessment also </w:t>
            </w:r>
            <w:r w:rsidRPr="008E40CA">
              <w:rPr>
                <w:rFonts w:ascii="Arial" w:eastAsiaTheme="minorEastAsia" w:hAnsi="Arial" w:cs="Arial"/>
                <w:sz w:val="22"/>
                <w:szCs w:val="22"/>
                <w:lang w:val="en-US" w:eastAsia="zh-TW"/>
              </w:rPr>
              <w:t xml:space="preserve">suggests a roadmap based on a concrete process of decision-making and action through which enabling, and not constraining Climate Resilient Development Pathways, can emerge and thus more likely result in just, resilient and sustainable futures that are best for people and the planet. </w:t>
            </w:r>
          </w:p>
          <w:p w14:paraId="3756CD50" w14:textId="74D929E6" w:rsidR="031EA70F" w:rsidRPr="008E40CA" w:rsidRDefault="3B38461B" w:rsidP="031EA70F">
            <w:pPr>
              <w:ind w:left="360"/>
              <w:jc w:val="both"/>
              <w:rPr>
                <w:rFonts w:ascii="Arial" w:hAnsi="Arial" w:cs="Arial"/>
                <w:sz w:val="22"/>
                <w:szCs w:val="22"/>
              </w:rPr>
            </w:pPr>
            <w:r w:rsidRPr="008E40CA">
              <w:rPr>
                <w:rFonts w:ascii="Arial" w:eastAsia="Aptos" w:hAnsi="Arial" w:cs="Arial"/>
                <w:sz w:val="22"/>
                <w:szCs w:val="22"/>
                <w:lang w:val="en-US"/>
              </w:rPr>
              <w:t xml:space="preserve"> </w:t>
            </w:r>
          </w:p>
          <w:p w14:paraId="7F9F1F4C" w14:textId="36E8839D" w:rsidR="031EA70F" w:rsidRPr="008E40CA" w:rsidRDefault="031EA70F" w:rsidP="031EA70F">
            <w:pPr>
              <w:jc w:val="both"/>
              <w:rPr>
                <w:rFonts w:ascii="Arial" w:hAnsi="Arial" w:cs="Arial"/>
                <w:b/>
                <w:bCs/>
                <w:sz w:val="22"/>
                <w:szCs w:val="22"/>
                <w:lang w:val="en-CA"/>
              </w:rPr>
            </w:pPr>
          </w:p>
          <w:p w14:paraId="6F3CA3F7" w14:textId="6E9D721E" w:rsidR="0CD7B461" w:rsidRPr="008E40CA" w:rsidRDefault="0CD7B461" w:rsidP="3B38461B">
            <w:pPr>
              <w:jc w:val="both"/>
              <w:rPr>
                <w:rFonts w:ascii="Arial" w:eastAsiaTheme="minorEastAsia" w:hAnsi="Arial" w:cs="Arial"/>
                <w:b/>
                <w:bCs/>
                <w:sz w:val="22"/>
                <w:szCs w:val="22"/>
                <w:lang w:val="en-CA" w:eastAsia="zh-TW"/>
              </w:rPr>
            </w:pPr>
          </w:p>
          <w:p w14:paraId="05D157CB" w14:textId="45E72EA8" w:rsidR="0CD7B461" w:rsidRPr="008E40CA" w:rsidRDefault="63C85EFE" w:rsidP="0CD7B461">
            <w:pPr>
              <w:jc w:val="both"/>
              <w:rPr>
                <w:rFonts w:ascii="Arial" w:hAnsi="Arial" w:cs="Arial"/>
                <w:b/>
                <w:bCs/>
                <w:sz w:val="22"/>
                <w:szCs w:val="22"/>
                <w:u w:val="single"/>
              </w:rPr>
            </w:pPr>
            <w:r w:rsidRPr="008E40CA">
              <w:rPr>
                <w:rFonts w:ascii="Arial" w:hAnsi="Arial" w:cs="Arial"/>
                <w:b/>
                <w:bCs/>
                <w:sz w:val="22"/>
                <w:szCs w:val="22"/>
                <w:u w:val="single"/>
              </w:rPr>
              <w:t>Panellist 5</w:t>
            </w:r>
          </w:p>
          <w:p w14:paraId="4EFE9CBC" w14:textId="695E6731" w:rsidR="0CD7B461" w:rsidRPr="008E40CA" w:rsidRDefault="52EE024F" w:rsidP="0CD7B461">
            <w:pPr>
              <w:jc w:val="both"/>
              <w:rPr>
                <w:rFonts w:ascii="Arial" w:hAnsi="Arial" w:cs="Arial"/>
                <w:b/>
                <w:bCs/>
                <w:sz w:val="22"/>
                <w:szCs w:val="22"/>
              </w:rPr>
            </w:pPr>
            <w:r w:rsidRPr="008E40CA">
              <w:rPr>
                <w:rFonts w:ascii="Arial" w:hAnsi="Arial" w:cs="Arial"/>
                <w:b/>
                <w:bCs/>
                <w:sz w:val="22"/>
                <w:szCs w:val="22"/>
              </w:rPr>
              <w:t>Full Name:  Bruce Glavovic</w:t>
            </w:r>
          </w:p>
          <w:p w14:paraId="1F02ADEA" w14:textId="78C6521E" w:rsidR="0CD7B461" w:rsidRPr="008E40CA" w:rsidRDefault="78B350C7" w:rsidP="78B350C7">
            <w:pPr>
              <w:jc w:val="both"/>
              <w:rPr>
                <w:rFonts w:ascii="Arial" w:eastAsiaTheme="minorEastAsia" w:hAnsi="Arial" w:cs="Arial"/>
                <w:b/>
                <w:bCs/>
                <w:sz w:val="22"/>
                <w:szCs w:val="22"/>
              </w:rPr>
            </w:pPr>
            <w:r w:rsidRPr="008E40CA">
              <w:rPr>
                <w:rFonts w:ascii="Arial" w:eastAsiaTheme="minorEastAsia" w:hAnsi="Arial" w:cs="Arial"/>
                <w:b/>
                <w:bCs/>
                <w:sz w:val="22"/>
                <w:szCs w:val="22"/>
              </w:rPr>
              <w:t>Organisation:  Massey University</w:t>
            </w:r>
          </w:p>
          <w:p w14:paraId="7C516B51" w14:textId="06FE9565" w:rsidR="0CD7B461" w:rsidRPr="008E40CA" w:rsidRDefault="78B350C7" w:rsidP="78B350C7">
            <w:pPr>
              <w:jc w:val="both"/>
              <w:rPr>
                <w:rFonts w:ascii="Arial" w:eastAsiaTheme="minorEastAsia" w:hAnsi="Arial" w:cs="Arial"/>
                <w:b/>
                <w:bCs/>
                <w:sz w:val="22"/>
                <w:szCs w:val="22"/>
              </w:rPr>
            </w:pPr>
            <w:r w:rsidRPr="008E40CA">
              <w:rPr>
                <w:rFonts w:ascii="Arial" w:eastAsiaTheme="minorEastAsia" w:hAnsi="Arial" w:cs="Arial"/>
                <w:b/>
                <w:bCs/>
                <w:sz w:val="22"/>
                <w:szCs w:val="22"/>
              </w:rPr>
              <w:t xml:space="preserve">Bio </w:t>
            </w:r>
            <w:r w:rsidRPr="008E40CA">
              <w:rPr>
                <w:rFonts w:ascii="Arial" w:eastAsiaTheme="minorEastAsia" w:hAnsi="Arial" w:cs="Arial"/>
                <w:sz w:val="22"/>
                <w:szCs w:val="22"/>
                <w:lang w:val="en-CA"/>
              </w:rPr>
              <w:t>Bruce has worked as a policy advisor, consultant planner, and academic in South Africa, the USA, and New Zealand. His applied research centres on how to make societal choices in turbulent times, with a focus on climate change adaptation; natural hazards planning; coastal governance; and collaborative planning and conflict transformation.  He’s been a CLA with both IPCC and IPBES.</w:t>
            </w:r>
          </w:p>
          <w:p w14:paraId="714EB549" w14:textId="3F87C34F" w:rsidR="3B38461B" w:rsidRPr="008E40CA" w:rsidRDefault="3B38461B" w:rsidP="3B38461B">
            <w:pPr>
              <w:jc w:val="both"/>
              <w:rPr>
                <w:rFonts w:ascii="Arial" w:eastAsia="Arial" w:hAnsi="Arial" w:cs="Arial"/>
                <w:sz w:val="22"/>
                <w:szCs w:val="22"/>
                <w:lang w:val="en-CA"/>
              </w:rPr>
            </w:pPr>
          </w:p>
          <w:p w14:paraId="712816E2" w14:textId="3EF65991" w:rsidR="63C85EFE" w:rsidRPr="008E40CA" w:rsidRDefault="371A7984" w:rsidP="3B38461B">
            <w:pPr>
              <w:jc w:val="both"/>
              <w:rPr>
                <w:rFonts w:ascii="Arial" w:hAnsi="Arial" w:cs="Arial"/>
                <w:b/>
                <w:bCs/>
                <w:sz w:val="22"/>
                <w:szCs w:val="22"/>
                <w:lang w:val="en-US"/>
              </w:rPr>
            </w:pPr>
            <w:r w:rsidRPr="008E40CA">
              <w:rPr>
                <w:rFonts w:ascii="Arial" w:hAnsi="Arial" w:cs="Arial"/>
                <w:b/>
                <w:bCs/>
                <w:sz w:val="22"/>
                <w:szCs w:val="22"/>
              </w:rPr>
              <w:t xml:space="preserve">Presentation </w:t>
            </w:r>
            <w:r w:rsidRPr="008E40CA">
              <w:rPr>
                <w:rFonts w:ascii="Arial" w:eastAsiaTheme="minorEastAsia" w:hAnsi="Arial" w:cs="Arial"/>
                <w:b/>
                <w:bCs/>
                <w:sz w:val="22"/>
                <w:szCs w:val="22"/>
                <w:lang w:eastAsia="zh-TW"/>
              </w:rPr>
              <w:t>5</w:t>
            </w:r>
            <w:r w:rsidR="0055233E">
              <w:rPr>
                <w:rFonts w:ascii="Arial" w:eastAsiaTheme="minorEastAsia" w:hAnsi="Arial" w:cs="Arial"/>
                <w:b/>
                <w:bCs/>
                <w:sz w:val="22"/>
                <w:szCs w:val="22"/>
                <w:lang w:eastAsia="zh-TW"/>
              </w:rPr>
              <w:t>:</w:t>
            </w:r>
            <w:r w:rsidRPr="008E40CA">
              <w:rPr>
                <w:rFonts w:ascii="Arial" w:eastAsiaTheme="minorEastAsia" w:hAnsi="Arial" w:cs="Arial"/>
                <w:b/>
                <w:bCs/>
                <w:sz w:val="22"/>
                <w:szCs w:val="22"/>
                <w:lang w:eastAsia="zh-TW"/>
              </w:rPr>
              <w:t xml:space="preserve">   </w:t>
            </w:r>
            <w:r w:rsidRPr="008E40CA">
              <w:rPr>
                <w:rFonts w:ascii="Arial" w:eastAsiaTheme="minorEastAsia" w:hAnsi="Arial" w:cs="Arial"/>
                <w:b/>
                <w:bCs/>
                <w:sz w:val="22"/>
                <w:szCs w:val="22"/>
                <w:lang w:val="en-US" w:eastAsia="zh-TW"/>
              </w:rPr>
              <w:t>How do we translate assessment findings into action? Bridging Science-Policy-Society</w:t>
            </w:r>
          </w:p>
          <w:p w14:paraId="284E2243" w14:textId="77777777" w:rsidR="0CD7B461" w:rsidRPr="008E40CA" w:rsidRDefault="0CD7B461" w:rsidP="0CD7B461">
            <w:pPr>
              <w:jc w:val="both"/>
              <w:rPr>
                <w:rFonts w:ascii="Arial" w:hAnsi="Arial" w:cs="Arial"/>
                <w:b/>
                <w:bCs/>
                <w:sz w:val="22"/>
                <w:szCs w:val="22"/>
              </w:rPr>
            </w:pPr>
          </w:p>
          <w:p w14:paraId="7FADBA21" w14:textId="677F2D20" w:rsidR="371A7984" w:rsidRPr="008E40CA" w:rsidRDefault="59478843" w:rsidP="59478843">
            <w:pPr>
              <w:jc w:val="both"/>
              <w:rPr>
                <w:rFonts w:ascii="Arial" w:hAnsi="Arial" w:cs="Arial"/>
                <w:sz w:val="22"/>
                <w:szCs w:val="22"/>
              </w:rPr>
            </w:pPr>
            <w:r w:rsidRPr="008E40CA">
              <w:rPr>
                <w:rFonts w:ascii="Arial" w:eastAsia="Aptos" w:hAnsi="Arial" w:cs="Arial"/>
                <w:sz w:val="22"/>
                <w:szCs w:val="22"/>
                <w:lang w:val="en-US"/>
              </w:rPr>
              <w:t>The IPCC and IPBES have pointed out the urgent need for transformation, especially in enabling transformative CRD, through arenas of engagement that are inclusive, just and equitable for the benefit of People and the Planet.  It urges us to identify what needs to be transformed and provides tools to start implementing such transformations.  Amongst these is identifying actions to address direct and indirect drivers of nexus challenges, incl. climate change, biodiversity loss, etc.  These assessments have highlighted key messages and findings but also gaps that need to be filled, for example, in identifying urgent CRD priorities such as enabling transitions and shifting values and worldviews.  In this space, the strengthening of IPCC and IPBES linkages is important through aligning interactions across Science, Policy and Society. Applying insights from both recent IPBES assessments, and building on the trajectory of IPCC assessment reports, the role of innovative and transformative nexus governance is central to bridging the science-policy-society interfaces and mobilizing collective capabilities across scales to chart new pathways towards inclusive, just, resilient and sustainable development for people and the planet. The root causes of unjust and climate-fragile development need to be confronted and new ways of thinking and working unleashed in enabling arenas of engagement for a new trajectory of hope and promise in turbulent times.</w:t>
            </w:r>
          </w:p>
          <w:p w14:paraId="611ED515" w14:textId="77777777" w:rsidR="004828A0" w:rsidRPr="008E40CA" w:rsidRDefault="004828A0" w:rsidP="00BE0B4D">
            <w:pPr>
              <w:jc w:val="both"/>
              <w:rPr>
                <w:rFonts w:ascii="Arial" w:hAnsi="Arial" w:cs="Arial"/>
                <w:b/>
                <w:bCs/>
                <w:sz w:val="22"/>
                <w:szCs w:val="22"/>
              </w:rPr>
            </w:pPr>
          </w:p>
        </w:tc>
      </w:tr>
    </w:tbl>
    <w:p w14:paraId="15AC9FEF" w14:textId="15B67474" w:rsidR="009010B0" w:rsidRPr="008E40CA" w:rsidRDefault="009010B0" w:rsidP="00247C60">
      <w:pPr>
        <w:rPr>
          <w:rFonts w:ascii="Arial" w:hAnsi="Arial" w:cs="Arial"/>
          <w:sz w:val="22"/>
          <w:szCs w:val="22"/>
        </w:rPr>
      </w:pPr>
    </w:p>
    <w:sectPr w:rsidR="009010B0" w:rsidRPr="008E40CA"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E372C8"/>
    <w:multiLevelType w:val="hybridMultilevel"/>
    <w:tmpl w:val="86864F58"/>
    <w:lvl w:ilvl="0" w:tplc="7122B9B6">
      <w:start w:val="1"/>
      <w:numFmt w:val="decimal"/>
      <w:lvlText w:val="1)"/>
      <w:lvlJc w:val="left"/>
      <w:pPr>
        <w:ind w:left="720" w:hanging="360"/>
      </w:pPr>
    </w:lvl>
    <w:lvl w:ilvl="1" w:tplc="F05EEA3C">
      <w:start w:val="1"/>
      <w:numFmt w:val="lowerLetter"/>
      <w:lvlText w:val="%2."/>
      <w:lvlJc w:val="left"/>
      <w:pPr>
        <w:ind w:left="1440" w:hanging="360"/>
      </w:pPr>
    </w:lvl>
    <w:lvl w:ilvl="2" w:tplc="A2B8DAD2">
      <w:start w:val="1"/>
      <w:numFmt w:val="lowerRoman"/>
      <w:lvlText w:val="%3."/>
      <w:lvlJc w:val="right"/>
      <w:pPr>
        <w:ind w:left="2160" w:hanging="180"/>
      </w:pPr>
    </w:lvl>
    <w:lvl w:ilvl="3" w:tplc="2A9AE256">
      <w:start w:val="1"/>
      <w:numFmt w:val="decimal"/>
      <w:lvlText w:val="%4."/>
      <w:lvlJc w:val="left"/>
      <w:pPr>
        <w:ind w:left="2880" w:hanging="360"/>
      </w:pPr>
    </w:lvl>
    <w:lvl w:ilvl="4" w:tplc="AB9C18AA">
      <w:start w:val="1"/>
      <w:numFmt w:val="lowerLetter"/>
      <w:lvlText w:val="%5."/>
      <w:lvlJc w:val="left"/>
      <w:pPr>
        <w:ind w:left="3600" w:hanging="360"/>
      </w:pPr>
    </w:lvl>
    <w:lvl w:ilvl="5" w:tplc="B7C82994">
      <w:start w:val="1"/>
      <w:numFmt w:val="lowerRoman"/>
      <w:lvlText w:val="%6."/>
      <w:lvlJc w:val="right"/>
      <w:pPr>
        <w:ind w:left="4320" w:hanging="180"/>
      </w:pPr>
    </w:lvl>
    <w:lvl w:ilvl="6" w:tplc="903CE3A2">
      <w:start w:val="1"/>
      <w:numFmt w:val="decimal"/>
      <w:lvlText w:val="%7."/>
      <w:lvlJc w:val="left"/>
      <w:pPr>
        <w:ind w:left="5040" w:hanging="360"/>
      </w:pPr>
    </w:lvl>
    <w:lvl w:ilvl="7" w:tplc="5CD25FFC">
      <w:start w:val="1"/>
      <w:numFmt w:val="lowerLetter"/>
      <w:lvlText w:val="%8."/>
      <w:lvlJc w:val="left"/>
      <w:pPr>
        <w:ind w:left="5760" w:hanging="360"/>
      </w:pPr>
    </w:lvl>
    <w:lvl w:ilvl="8" w:tplc="AD92310A">
      <w:start w:val="1"/>
      <w:numFmt w:val="lowerRoman"/>
      <w:lvlText w:val="%9."/>
      <w:lvlJc w:val="right"/>
      <w:pPr>
        <w:ind w:left="6480" w:hanging="180"/>
      </w:pPr>
    </w:lvl>
  </w:abstractNum>
  <w:abstractNum w:abstractNumId="2" w15:restartNumberingAfterBreak="0">
    <w:nsid w:val="2052831D"/>
    <w:multiLevelType w:val="hybridMultilevel"/>
    <w:tmpl w:val="28EEBD28"/>
    <w:lvl w:ilvl="0" w:tplc="4B824B88">
      <w:start w:val="1"/>
      <w:numFmt w:val="decimal"/>
      <w:lvlText w:val="%1."/>
      <w:lvlJc w:val="left"/>
      <w:pPr>
        <w:ind w:left="720" w:hanging="360"/>
      </w:pPr>
    </w:lvl>
    <w:lvl w:ilvl="1" w:tplc="F630390E">
      <w:start w:val="1"/>
      <w:numFmt w:val="lowerLetter"/>
      <w:lvlText w:val="%2."/>
      <w:lvlJc w:val="left"/>
      <w:pPr>
        <w:ind w:left="1440" w:hanging="360"/>
      </w:pPr>
    </w:lvl>
    <w:lvl w:ilvl="2" w:tplc="58D2E14A">
      <w:start w:val="1"/>
      <w:numFmt w:val="lowerRoman"/>
      <w:lvlText w:val="%3."/>
      <w:lvlJc w:val="right"/>
      <w:pPr>
        <w:ind w:left="2160" w:hanging="180"/>
      </w:pPr>
    </w:lvl>
    <w:lvl w:ilvl="3" w:tplc="5CE2ADCA">
      <w:start w:val="1"/>
      <w:numFmt w:val="decimal"/>
      <w:lvlText w:val="%4."/>
      <w:lvlJc w:val="left"/>
      <w:pPr>
        <w:ind w:left="2880" w:hanging="360"/>
      </w:pPr>
    </w:lvl>
    <w:lvl w:ilvl="4" w:tplc="B85052DA">
      <w:start w:val="1"/>
      <w:numFmt w:val="lowerLetter"/>
      <w:lvlText w:val="%5."/>
      <w:lvlJc w:val="left"/>
      <w:pPr>
        <w:ind w:left="3600" w:hanging="360"/>
      </w:pPr>
    </w:lvl>
    <w:lvl w:ilvl="5" w:tplc="D9DC693C">
      <w:start w:val="1"/>
      <w:numFmt w:val="lowerRoman"/>
      <w:lvlText w:val="%6."/>
      <w:lvlJc w:val="right"/>
      <w:pPr>
        <w:ind w:left="4320" w:hanging="180"/>
      </w:pPr>
    </w:lvl>
    <w:lvl w:ilvl="6" w:tplc="7FC05BA4">
      <w:start w:val="1"/>
      <w:numFmt w:val="decimal"/>
      <w:lvlText w:val="%7."/>
      <w:lvlJc w:val="left"/>
      <w:pPr>
        <w:ind w:left="5040" w:hanging="360"/>
      </w:pPr>
    </w:lvl>
    <w:lvl w:ilvl="7" w:tplc="084A7DA6">
      <w:start w:val="1"/>
      <w:numFmt w:val="lowerLetter"/>
      <w:lvlText w:val="%8."/>
      <w:lvlJc w:val="left"/>
      <w:pPr>
        <w:ind w:left="5760" w:hanging="360"/>
      </w:pPr>
    </w:lvl>
    <w:lvl w:ilvl="8" w:tplc="E0466618">
      <w:start w:val="1"/>
      <w:numFmt w:val="lowerRoman"/>
      <w:lvlText w:val="%9."/>
      <w:lvlJc w:val="right"/>
      <w:pPr>
        <w:ind w:left="6480" w:hanging="180"/>
      </w:pPr>
    </w:lvl>
  </w:abstractNum>
  <w:abstractNum w:abstractNumId="3"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72C4526"/>
    <w:multiLevelType w:val="hybridMultilevel"/>
    <w:tmpl w:val="73FE3B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3171324"/>
    <w:multiLevelType w:val="hybridMultilevel"/>
    <w:tmpl w:val="17A0C6DC"/>
    <w:lvl w:ilvl="0" w:tplc="59324014">
      <w:start w:val="1"/>
      <w:numFmt w:val="decimal"/>
      <w:lvlText w:val="2)"/>
      <w:lvlJc w:val="left"/>
      <w:pPr>
        <w:ind w:left="720" w:hanging="360"/>
      </w:pPr>
    </w:lvl>
    <w:lvl w:ilvl="1" w:tplc="98C418BE">
      <w:start w:val="1"/>
      <w:numFmt w:val="lowerLetter"/>
      <w:lvlText w:val="%2."/>
      <w:lvlJc w:val="left"/>
      <w:pPr>
        <w:ind w:left="1440" w:hanging="360"/>
      </w:pPr>
    </w:lvl>
    <w:lvl w:ilvl="2" w:tplc="A4F4CEAA">
      <w:start w:val="1"/>
      <w:numFmt w:val="lowerRoman"/>
      <w:lvlText w:val="%3."/>
      <w:lvlJc w:val="right"/>
      <w:pPr>
        <w:ind w:left="2160" w:hanging="180"/>
      </w:pPr>
    </w:lvl>
    <w:lvl w:ilvl="3" w:tplc="00D8D03A">
      <w:start w:val="1"/>
      <w:numFmt w:val="decimal"/>
      <w:lvlText w:val="%4."/>
      <w:lvlJc w:val="left"/>
      <w:pPr>
        <w:ind w:left="2880" w:hanging="360"/>
      </w:pPr>
    </w:lvl>
    <w:lvl w:ilvl="4" w:tplc="EC5AD0BA">
      <w:start w:val="1"/>
      <w:numFmt w:val="lowerLetter"/>
      <w:lvlText w:val="%5."/>
      <w:lvlJc w:val="left"/>
      <w:pPr>
        <w:ind w:left="3600" w:hanging="360"/>
      </w:pPr>
    </w:lvl>
    <w:lvl w:ilvl="5" w:tplc="E8DCDF8E">
      <w:start w:val="1"/>
      <w:numFmt w:val="lowerRoman"/>
      <w:lvlText w:val="%6."/>
      <w:lvlJc w:val="right"/>
      <w:pPr>
        <w:ind w:left="4320" w:hanging="180"/>
      </w:pPr>
    </w:lvl>
    <w:lvl w:ilvl="6" w:tplc="DB2473BC">
      <w:start w:val="1"/>
      <w:numFmt w:val="decimal"/>
      <w:lvlText w:val="%7."/>
      <w:lvlJc w:val="left"/>
      <w:pPr>
        <w:ind w:left="5040" w:hanging="360"/>
      </w:pPr>
    </w:lvl>
    <w:lvl w:ilvl="7" w:tplc="939EBBDC">
      <w:start w:val="1"/>
      <w:numFmt w:val="lowerLetter"/>
      <w:lvlText w:val="%8."/>
      <w:lvlJc w:val="left"/>
      <w:pPr>
        <w:ind w:left="5760" w:hanging="360"/>
      </w:pPr>
    </w:lvl>
    <w:lvl w:ilvl="8" w:tplc="8AC296DC">
      <w:start w:val="1"/>
      <w:numFmt w:val="lowerRoman"/>
      <w:lvlText w:val="%9."/>
      <w:lvlJc w:val="right"/>
      <w:pPr>
        <w:ind w:left="6480" w:hanging="180"/>
      </w:pPr>
    </w:lvl>
  </w:abstractNum>
  <w:abstractNum w:abstractNumId="6" w15:restartNumberingAfterBreak="0">
    <w:nsid w:val="44D41AC6"/>
    <w:multiLevelType w:val="hybridMultilevel"/>
    <w:tmpl w:val="BF6C2F3E"/>
    <w:lvl w:ilvl="0" w:tplc="A9C8D170">
      <w:start w:val="1"/>
      <w:numFmt w:val="decimal"/>
      <w:lvlText w:val="1)"/>
      <w:lvlJc w:val="left"/>
      <w:pPr>
        <w:ind w:left="720" w:hanging="360"/>
      </w:pPr>
    </w:lvl>
    <w:lvl w:ilvl="1" w:tplc="594E6E8A">
      <w:start w:val="1"/>
      <w:numFmt w:val="lowerLetter"/>
      <w:lvlText w:val="%2."/>
      <w:lvlJc w:val="left"/>
      <w:pPr>
        <w:ind w:left="1440" w:hanging="360"/>
      </w:pPr>
    </w:lvl>
    <w:lvl w:ilvl="2" w:tplc="40B834D4">
      <w:start w:val="1"/>
      <w:numFmt w:val="lowerRoman"/>
      <w:lvlText w:val="%3."/>
      <w:lvlJc w:val="right"/>
      <w:pPr>
        <w:ind w:left="2160" w:hanging="180"/>
      </w:pPr>
    </w:lvl>
    <w:lvl w:ilvl="3" w:tplc="1088813E">
      <w:start w:val="1"/>
      <w:numFmt w:val="decimal"/>
      <w:lvlText w:val="%4."/>
      <w:lvlJc w:val="left"/>
      <w:pPr>
        <w:ind w:left="2880" w:hanging="360"/>
      </w:pPr>
    </w:lvl>
    <w:lvl w:ilvl="4" w:tplc="CFD0EA3C">
      <w:start w:val="1"/>
      <w:numFmt w:val="lowerLetter"/>
      <w:lvlText w:val="%5."/>
      <w:lvlJc w:val="left"/>
      <w:pPr>
        <w:ind w:left="3600" w:hanging="360"/>
      </w:pPr>
    </w:lvl>
    <w:lvl w:ilvl="5" w:tplc="B5A63092">
      <w:start w:val="1"/>
      <w:numFmt w:val="lowerRoman"/>
      <w:lvlText w:val="%6."/>
      <w:lvlJc w:val="right"/>
      <w:pPr>
        <w:ind w:left="4320" w:hanging="180"/>
      </w:pPr>
    </w:lvl>
    <w:lvl w:ilvl="6" w:tplc="D45C573C">
      <w:start w:val="1"/>
      <w:numFmt w:val="decimal"/>
      <w:lvlText w:val="%7."/>
      <w:lvlJc w:val="left"/>
      <w:pPr>
        <w:ind w:left="5040" w:hanging="360"/>
      </w:pPr>
    </w:lvl>
    <w:lvl w:ilvl="7" w:tplc="FE3A8DB4">
      <w:start w:val="1"/>
      <w:numFmt w:val="lowerLetter"/>
      <w:lvlText w:val="%8."/>
      <w:lvlJc w:val="left"/>
      <w:pPr>
        <w:ind w:left="5760" w:hanging="360"/>
      </w:pPr>
    </w:lvl>
    <w:lvl w:ilvl="8" w:tplc="A10021DC">
      <w:start w:val="1"/>
      <w:numFmt w:val="lowerRoman"/>
      <w:lvlText w:val="%9."/>
      <w:lvlJc w:val="right"/>
      <w:pPr>
        <w:ind w:left="6480" w:hanging="180"/>
      </w:pPr>
    </w:lvl>
  </w:abstractNum>
  <w:abstractNum w:abstractNumId="7"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1A57B11"/>
    <w:multiLevelType w:val="hybridMultilevel"/>
    <w:tmpl w:val="0D7A593C"/>
    <w:lvl w:ilvl="0" w:tplc="C0A88CAC">
      <w:start w:val="1"/>
      <w:numFmt w:val="decimal"/>
      <w:lvlText w:val="3)"/>
      <w:lvlJc w:val="left"/>
      <w:pPr>
        <w:ind w:left="720" w:hanging="360"/>
      </w:pPr>
    </w:lvl>
    <w:lvl w:ilvl="1" w:tplc="29EA3A80">
      <w:start w:val="1"/>
      <w:numFmt w:val="lowerLetter"/>
      <w:lvlText w:val="%2."/>
      <w:lvlJc w:val="left"/>
      <w:pPr>
        <w:ind w:left="1440" w:hanging="360"/>
      </w:pPr>
    </w:lvl>
    <w:lvl w:ilvl="2" w:tplc="AA9A483E">
      <w:start w:val="1"/>
      <w:numFmt w:val="lowerRoman"/>
      <w:lvlText w:val="%3."/>
      <w:lvlJc w:val="right"/>
      <w:pPr>
        <w:ind w:left="2160" w:hanging="180"/>
      </w:pPr>
    </w:lvl>
    <w:lvl w:ilvl="3" w:tplc="E4C05D1C">
      <w:start w:val="1"/>
      <w:numFmt w:val="decimal"/>
      <w:lvlText w:val="%4."/>
      <w:lvlJc w:val="left"/>
      <w:pPr>
        <w:ind w:left="2880" w:hanging="360"/>
      </w:pPr>
    </w:lvl>
    <w:lvl w:ilvl="4" w:tplc="6512DAFC">
      <w:start w:val="1"/>
      <w:numFmt w:val="lowerLetter"/>
      <w:lvlText w:val="%5."/>
      <w:lvlJc w:val="left"/>
      <w:pPr>
        <w:ind w:left="3600" w:hanging="360"/>
      </w:pPr>
    </w:lvl>
    <w:lvl w:ilvl="5" w:tplc="B5446E2A">
      <w:start w:val="1"/>
      <w:numFmt w:val="lowerRoman"/>
      <w:lvlText w:val="%6."/>
      <w:lvlJc w:val="right"/>
      <w:pPr>
        <w:ind w:left="4320" w:hanging="180"/>
      </w:pPr>
    </w:lvl>
    <w:lvl w:ilvl="6" w:tplc="E0ACB71A">
      <w:start w:val="1"/>
      <w:numFmt w:val="decimal"/>
      <w:lvlText w:val="%7."/>
      <w:lvlJc w:val="left"/>
      <w:pPr>
        <w:ind w:left="5040" w:hanging="360"/>
      </w:pPr>
    </w:lvl>
    <w:lvl w:ilvl="7" w:tplc="E5EC33C0">
      <w:start w:val="1"/>
      <w:numFmt w:val="lowerLetter"/>
      <w:lvlText w:val="%8."/>
      <w:lvlJc w:val="left"/>
      <w:pPr>
        <w:ind w:left="5760" w:hanging="360"/>
      </w:pPr>
    </w:lvl>
    <w:lvl w:ilvl="8" w:tplc="A99E8E60">
      <w:start w:val="1"/>
      <w:numFmt w:val="lowerRoman"/>
      <w:lvlText w:val="%9."/>
      <w:lvlJc w:val="right"/>
      <w:pPr>
        <w:ind w:left="6480" w:hanging="180"/>
      </w:pPr>
    </w:lvl>
  </w:abstractNum>
  <w:abstractNum w:abstractNumId="9"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218276013">
    <w:abstractNumId w:val="6"/>
  </w:num>
  <w:num w:numId="2" w16cid:durableId="1816297014">
    <w:abstractNumId w:val="8"/>
  </w:num>
  <w:num w:numId="3" w16cid:durableId="1963924319">
    <w:abstractNumId w:val="5"/>
  </w:num>
  <w:num w:numId="4" w16cid:durableId="2067217007">
    <w:abstractNumId w:val="1"/>
  </w:num>
  <w:num w:numId="5" w16cid:durableId="715198941">
    <w:abstractNumId w:val="2"/>
  </w:num>
  <w:num w:numId="6" w16cid:durableId="416439391">
    <w:abstractNumId w:val="0"/>
  </w:num>
  <w:num w:numId="7" w16cid:durableId="1027095654">
    <w:abstractNumId w:val="9"/>
  </w:num>
  <w:num w:numId="8" w16cid:durableId="1208686634">
    <w:abstractNumId w:val="7"/>
  </w:num>
  <w:num w:numId="9" w16cid:durableId="1179194463">
    <w:abstractNumId w:val="3"/>
  </w:num>
  <w:num w:numId="10" w16cid:durableId="647394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C2EF8"/>
    <w:rsid w:val="00105E39"/>
    <w:rsid w:val="00113EFE"/>
    <w:rsid w:val="00155315"/>
    <w:rsid w:val="001A0D38"/>
    <w:rsid w:val="00247C60"/>
    <w:rsid w:val="00256963"/>
    <w:rsid w:val="002D35EB"/>
    <w:rsid w:val="002E3AA3"/>
    <w:rsid w:val="00317356"/>
    <w:rsid w:val="00341D66"/>
    <w:rsid w:val="0034503D"/>
    <w:rsid w:val="00354C31"/>
    <w:rsid w:val="00386D01"/>
    <w:rsid w:val="004049E7"/>
    <w:rsid w:val="00427DD9"/>
    <w:rsid w:val="00462B90"/>
    <w:rsid w:val="00463149"/>
    <w:rsid w:val="004828A0"/>
    <w:rsid w:val="004B69C7"/>
    <w:rsid w:val="004F4CE8"/>
    <w:rsid w:val="004F5C81"/>
    <w:rsid w:val="0053222C"/>
    <w:rsid w:val="005469BD"/>
    <w:rsid w:val="00550B17"/>
    <w:rsid w:val="0055233E"/>
    <w:rsid w:val="005847C8"/>
    <w:rsid w:val="005854B8"/>
    <w:rsid w:val="0065012F"/>
    <w:rsid w:val="006567EF"/>
    <w:rsid w:val="00670B0C"/>
    <w:rsid w:val="0068043B"/>
    <w:rsid w:val="00681CA7"/>
    <w:rsid w:val="006D4A81"/>
    <w:rsid w:val="007C5213"/>
    <w:rsid w:val="008235E8"/>
    <w:rsid w:val="008773DF"/>
    <w:rsid w:val="008B01BA"/>
    <w:rsid w:val="008B50A0"/>
    <w:rsid w:val="008C0C35"/>
    <w:rsid w:val="008C22AD"/>
    <w:rsid w:val="008C2633"/>
    <w:rsid w:val="008C692D"/>
    <w:rsid w:val="008E3D8D"/>
    <w:rsid w:val="008E40CA"/>
    <w:rsid w:val="008F2F93"/>
    <w:rsid w:val="009010B0"/>
    <w:rsid w:val="00906B39"/>
    <w:rsid w:val="00963443"/>
    <w:rsid w:val="009C374A"/>
    <w:rsid w:val="009C3A87"/>
    <w:rsid w:val="009C51D5"/>
    <w:rsid w:val="009F4EA0"/>
    <w:rsid w:val="00A44569"/>
    <w:rsid w:val="00AB6BC3"/>
    <w:rsid w:val="00B026E8"/>
    <w:rsid w:val="00B61E53"/>
    <w:rsid w:val="00B76030"/>
    <w:rsid w:val="00B94D66"/>
    <w:rsid w:val="00BA0872"/>
    <w:rsid w:val="00BA26BB"/>
    <w:rsid w:val="00BC6810"/>
    <w:rsid w:val="00BE0B4D"/>
    <w:rsid w:val="00BE5A89"/>
    <w:rsid w:val="00C26081"/>
    <w:rsid w:val="00C4126D"/>
    <w:rsid w:val="00C46F7A"/>
    <w:rsid w:val="00C76C99"/>
    <w:rsid w:val="00C8423A"/>
    <w:rsid w:val="00CE53FE"/>
    <w:rsid w:val="00D716AD"/>
    <w:rsid w:val="00DB7929"/>
    <w:rsid w:val="00DD1BB3"/>
    <w:rsid w:val="00DD58E1"/>
    <w:rsid w:val="00E31C44"/>
    <w:rsid w:val="00E612FF"/>
    <w:rsid w:val="00E9389C"/>
    <w:rsid w:val="00EB1B31"/>
    <w:rsid w:val="00EE348A"/>
    <w:rsid w:val="00F33AA6"/>
    <w:rsid w:val="00F818D6"/>
    <w:rsid w:val="00FF5430"/>
    <w:rsid w:val="031EA70F"/>
    <w:rsid w:val="08F15DE7"/>
    <w:rsid w:val="09B6C019"/>
    <w:rsid w:val="0CD7B461"/>
    <w:rsid w:val="0F8A48A5"/>
    <w:rsid w:val="12C371C9"/>
    <w:rsid w:val="12DB3FE3"/>
    <w:rsid w:val="15FE4795"/>
    <w:rsid w:val="1A2B4452"/>
    <w:rsid w:val="1BBFFD44"/>
    <w:rsid w:val="1C69D39B"/>
    <w:rsid w:val="1E359595"/>
    <w:rsid w:val="291C8FC2"/>
    <w:rsid w:val="297EE804"/>
    <w:rsid w:val="2A710554"/>
    <w:rsid w:val="326BDB21"/>
    <w:rsid w:val="33138221"/>
    <w:rsid w:val="371A7984"/>
    <w:rsid w:val="374B0120"/>
    <w:rsid w:val="388A0C28"/>
    <w:rsid w:val="39ACD49F"/>
    <w:rsid w:val="3B38461B"/>
    <w:rsid w:val="3C2E3A07"/>
    <w:rsid w:val="3E205C08"/>
    <w:rsid w:val="4250AAC6"/>
    <w:rsid w:val="440A4AED"/>
    <w:rsid w:val="45E2BC2E"/>
    <w:rsid w:val="4B9FE01D"/>
    <w:rsid w:val="4F47C644"/>
    <w:rsid w:val="52EE024F"/>
    <w:rsid w:val="5370D968"/>
    <w:rsid w:val="585EF53C"/>
    <w:rsid w:val="59478843"/>
    <w:rsid w:val="5C34ED32"/>
    <w:rsid w:val="5D6BC8A9"/>
    <w:rsid w:val="5E4C37DB"/>
    <w:rsid w:val="5E5A28CE"/>
    <w:rsid w:val="5EA3FD9B"/>
    <w:rsid w:val="63C85EFE"/>
    <w:rsid w:val="6B6555F3"/>
    <w:rsid w:val="6BB05BAE"/>
    <w:rsid w:val="6CCB38D2"/>
    <w:rsid w:val="6D48DD94"/>
    <w:rsid w:val="6E87DFBB"/>
    <w:rsid w:val="71481C4F"/>
    <w:rsid w:val="732BB9DD"/>
    <w:rsid w:val="78B350C7"/>
    <w:rsid w:val="7B5A12A7"/>
    <w:rsid w:val="7BAA6EDD"/>
    <w:rsid w:val="7D48A2FA"/>
    <w:rsid w:val="7DA1332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190812">
      <w:bodyDiv w:val="1"/>
      <w:marLeft w:val="0"/>
      <w:marRight w:val="0"/>
      <w:marTop w:val="0"/>
      <w:marBottom w:val="0"/>
      <w:divBdr>
        <w:top w:val="none" w:sz="0" w:space="0" w:color="auto"/>
        <w:left w:val="none" w:sz="0" w:space="0" w:color="auto"/>
        <w:bottom w:val="none" w:sz="0" w:space="0" w:color="auto"/>
        <w:right w:val="none" w:sz="0" w:space="0" w:color="auto"/>
      </w:divBdr>
      <w:divsChild>
        <w:div w:id="751896127">
          <w:marLeft w:val="0"/>
          <w:marRight w:val="0"/>
          <w:marTop w:val="0"/>
          <w:marBottom w:val="0"/>
          <w:divBdr>
            <w:top w:val="none" w:sz="0" w:space="0" w:color="auto"/>
            <w:left w:val="none" w:sz="0" w:space="0" w:color="auto"/>
            <w:bottom w:val="none" w:sz="0" w:space="0" w:color="auto"/>
            <w:right w:val="none" w:sz="0" w:space="0" w:color="auto"/>
          </w:divBdr>
          <w:divsChild>
            <w:div w:id="13386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622760375">
      <w:bodyDiv w:val="1"/>
      <w:marLeft w:val="0"/>
      <w:marRight w:val="0"/>
      <w:marTop w:val="0"/>
      <w:marBottom w:val="0"/>
      <w:divBdr>
        <w:top w:val="none" w:sz="0" w:space="0" w:color="auto"/>
        <w:left w:val="none" w:sz="0" w:space="0" w:color="auto"/>
        <w:bottom w:val="none" w:sz="0" w:space="0" w:color="auto"/>
        <w:right w:val="none" w:sz="0" w:space="0" w:color="auto"/>
      </w:divBdr>
      <w:divsChild>
        <w:div w:id="231739155">
          <w:marLeft w:val="0"/>
          <w:marRight w:val="0"/>
          <w:marTop w:val="0"/>
          <w:marBottom w:val="0"/>
          <w:divBdr>
            <w:top w:val="none" w:sz="0" w:space="0" w:color="auto"/>
            <w:left w:val="none" w:sz="0" w:space="0" w:color="auto"/>
            <w:bottom w:val="none" w:sz="0" w:space="0" w:color="auto"/>
            <w:right w:val="none" w:sz="0" w:space="0" w:color="auto"/>
          </w:divBdr>
          <w:divsChild>
            <w:div w:id="179609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1017/9781009325844.001"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5281/zenodo.11382230" TargetMode="External"/><Relationship Id="rId5" Type="http://schemas.openxmlformats.org/officeDocument/2006/relationships/styles" Target="styles.xml"/><Relationship Id="rId10" Type="http://schemas.openxmlformats.org/officeDocument/2006/relationships/hyperlink" Target="https://doi.org/10.5281/zenodo.13850290" TargetMode="External"/><Relationship Id="rId4" Type="http://schemas.openxmlformats.org/officeDocument/2006/relationships/numbering" Target="numbering.xml"/><Relationship Id="rId9" Type="http://schemas.openxmlformats.org/officeDocument/2006/relationships/hyperlink" Target="https://dx.doi.org/10.59327/IPCC/AR6-9789291691647.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2.xml><?xml version="1.0" encoding="utf-8"?>
<ds:datastoreItem xmlns:ds="http://schemas.openxmlformats.org/officeDocument/2006/customXml" ds:itemID="{57D0E107-A7FC-4EC6-8C14-9B652A1047C4}"/>
</file>

<file path=customXml/itemProps3.xml><?xml version="1.0" encoding="utf-8"?>
<ds:datastoreItem xmlns:ds="http://schemas.openxmlformats.org/officeDocument/2006/customXml" ds:itemID="{C375252D-E591-453A-8164-E6940B4D4083}">
  <ds:schemaRefs>
    <ds:schemaRef ds:uri="http://purl.org/dc/terms/"/>
    <ds:schemaRef ds:uri="http://schemas.openxmlformats.org/package/2006/metadata/core-properties"/>
    <ds:schemaRef ds:uri="http://purl.org/dc/elements/1.1/"/>
    <ds:schemaRef ds:uri="http://schemas.microsoft.com/office/2006/documentManagement/types"/>
    <ds:schemaRef ds:uri="6911e96c-4cc4-42d5-8e43-f93924cf6a05"/>
    <ds:schemaRef ds:uri="http://purl.org/dc/dcmitype/"/>
    <ds:schemaRef ds:uri="http://www.w3.org/XML/1998/namespace"/>
    <ds:schemaRef ds:uri="cab52c9b-ab33-4221-8af9-54f8f2b86a80"/>
    <ds:schemaRef ds:uri="http://schemas.microsoft.com/office/infopath/2007/PartnerControls"/>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2302</Words>
  <Characters>13123</Characters>
  <Application>Microsoft Office Word</Application>
  <DocSecurity>0</DocSecurity>
  <Lines>109</Lines>
  <Paragraphs>30</Paragraphs>
  <ScaleCrop>false</ScaleCrop>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7</cp:revision>
  <dcterms:created xsi:type="dcterms:W3CDTF">2025-03-07T03:19:00Z</dcterms:created>
  <dcterms:modified xsi:type="dcterms:W3CDTF">2025-08-11T19:59:00Z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