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7FA0" w14:textId="5B0DA32E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 (max. </w:t>
      </w:r>
      <w:r w:rsidR="0028124D" w:rsidRPr="007244F0">
        <w:rPr>
          <w:rFonts w:ascii="Arial" w:hAnsi="Arial" w:cs="Arial"/>
        </w:rPr>
        <w:t>25</w:t>
      </w:r>
      <w:r w:rsidRPr="007244F0">
        <w:rPr>
          <w:rFonts w:ascii="Arial" w:hAnsi="Arial" w:cs="Arial"/>
        </w:rPr>
        <w:t xml:space="preserve"> words): </w:t>
      </w:r>
    </w:p>
    <w:p w14:paraId="0FFA80F2" w14:textId="77777777" w:rsidR="00497EF2" w:rsidRDefault="00497EF2" w:rsidP="008427FA">
      <w:pPr>
        <w:rPr>
          <w:rFonts w:ascii="Arial" w:hAnsi="Arial" w:cs="Arial"/>
          <w:b/>
          <w:bCs/>
        </w:rPr>
      </w:pPr>
    </w:p>
    <w:p w14:paraId="6AC2CF3D" w14:textId="1D22D520" w:rsidR="0086236D" w:rsidRDefault="00457D65" w:rsidP="008427FA">
      <w:pPr>
        <w:rPr>
          <w:rFonts w:ascii="Arial" w:hAnsi="Arial" w:cs="Arial"/>
          <w:b/>
          <w:bCs/>
        </w:rPr>
      </w:pPr>
      <w:r w:rsidRPr="00457D65">
        <w:rPr>
          <w:rFonts w:ascii="Arial" w:hAnsi="Arial" w:cs="Arial"/>
          <w:b/>
          <w:bCs/>
        </w:rPr>
        <w:t>Circulating microRNA Profiles Associated with Familial Risk of Type 2 Diabetes and Renal Failure in Māori and Pasifika First-Degree Relatives</w:t>
      </w:r>
    </w:p>
    <w:p w14:paraId="123C00DA" w14:textId="77777777" w:rsidR="001F3E27" w:rsidRPr="007244F0" w:rsidRDefault="001F3E27" w:rsidP="008427FA">
      <w:pPr>
        <w:rPr>
          <w:rFonts w:ascii="Arial" w:hAnsi="Arial" w:cs="Arial"/>
        </w:rPr>
      </w:pPr>
    </w:p>
    <w:p w14:paraId="454B7C19" w14:textId="307030D2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 xml:space="preserve">content </w:t>
      </w:r>
      <w:r w:rsidRPr="007244F0">
        <w:rPr>
          <w:rFonts w:ascii="Arial" w:hAnsi="Arial" w:cs="Arial"/>
        </w:rPr>
        <w:t xml:space="preserve">(max. 300 words): 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1F8D817A" w14:textId="2EB62542" w:rsidR="001F3E27" w:rsidRPr="001F3E27" w:rsidRDefault="001F3E27" w:rsidP="001F3E27">
      <w:pPr>
        <w:rPr>
          <w:rFonts w:ascii="Arial" w:hAnsi="Arial" w:cs="Arial"/>
        </w:rPr>
      </w:pPr>
      <w:r w:rsidRPr="001F3E27">
        <w:rPr>
          <w:rFonts w:ascii="Arial" w:hAnsi="Arial" w:cs="Arial"/>
          <w:b/>
          <w:bCs/>
        </w:rPr>
        <w:t>Aim:</w:t>
      </w:r>
      <w:r>
        <w:rPr>
          <w:rFonts w:ascii="Arial" w:hAnsi="Arial" w:cs="Arial"/>
          <w:b/>
          <w:bCs/>
        </w:rPr>
        <w:t xml:space="preserve"> </w:t>
      </w:r>
      <w:r w:rsidR="00F56D81" w:rsidRPr="00F56D81">
        <w:rPr>
          <w:rFonts w:ascii="Arial" w:hAnsi="Arial" w:cs="Arial"/>
        </w:rPr>
        <w:t xml:space="preserve">Circulating microRNAs (miRNAs) regulate metabolic and inflammatory pathways and may reflect genetic risk </w:t>
      </w:r>
      <w:r w:rsidR="007870B3">
        <w:rPr>
          <w:rFonts w:ascii="Arial" w:hAnsi="Arial" w:cs="Arial"/>
        </w:rPr>
        <w:t>for</w:t>
      </w:r>
      <w:r w:rsidR="00F56D81" w:rsidRPr="00F56D81">
        <w:rPr>
          <w:rFonts w:ascii="Arial" w:hAnsi="Arial" w:cs="Arial"/>
        </w:rPr>
        <w:t xml:space="preserve"> type 2 diabetes (T2D) and renal failure (RF), </w:t>
      </w:r>
      <w:r w:rsidR="006927EC">
        <w:rPr>
          <w:rFonts w:ascii="Arial" w:hAnsi="Arial" w:cs="Arial"/>
        </w:rPr>
        <w:t xml:space="preserve">often </w:t>
      </w:r>
      <w:r w:rsidR="00F56D81" w:rsidRPr="00F56D81">
        <w:rPr>
          <w:rFonts w:ascii="Arial" w:hAnsi="Arial" w:cs="Arial"/>
        </w:rPr>
        <w:t>captured through family history. Whether circulating microRNA</w:t>
      </w:r>
      <w:r w:rsidR="00810491">
        <w:rPr>
          <w:rFonts w:ascii="Arial" w:hAnsi="Arial" w:cs="Arial"/>
        </w:rPr>
        <w:t xml:space="preserve"> profile</w:t>
      </w:r>
      <w:r w:rsidR="00F56D81" w:rsidRPr="00F56D81">
        <w:rPr>
          <w:rFonts w:ascii="Arial" w:hAnsi="Arial" w:cs="Arial"/>
        </w:rPr>
        <w:t xml:space="preserve">s </w:t>
      </w:r>
      <w:r w:rsidR="00810491">
        <w:rPr>
          <w:rFonts w:ascii="Arial" w:hAnsi="Arial" w:cs="Arial"/>
        </w:rPr>
        <w:t xml:space="preserve">reflect different </w:t>
      </w:r>
      <w:r w:rsidR="00F56D81" w:rsidRPr="00F56D81">
        <w:rPr>
          <w:rFonts w:ascii="Arial" w:hAnsi="Arial" w:cs="Arial"/>
        </w:rPr>
        <w:t>familial risk</w:t>
      </w:r>
      <w:r w:rsidR="00810491">
        <w:rPr>
          <w:rFonts w:ascii="Arial" w:hAnsi="Arial" w:cs="Arial"/>
        </w:rPr>
        <w:t>s</w:t>
      </w:r>
      <w:r w:rsidR="00F56D81" w:rsidRPr="00F56D81">
        <w:rPr>
          <w:rFonts w:ascii="Arial" w:hAnsi="Arial" w:cs="Arial"/>
        </w:rPr>
        <w:t xml:space="preserve"> is currently </w:t>
      </w:r>
      <w:r w:rsidR="006927EC">
        <w:rPr>
          <w:rFonts w:ascii="Arial" w:hAnsi="Arial" w:cs="Arial"/>
        </w:rPr>
        <w:t>unclear</w:t>
      </w:r>
      <w:r w:rsidR="00F56D81" w:rsidRPr="00F56D81">
        <w:rPr>
          <w:rFonts w:ascii="Arial" w:hAnsi="Arial" w:cs="Arial"/>
        </w:rPr>
        <w:t>.</w:t>
      </w:r>
      <w:r w:rsidR="006927EC">
        <w:rPr>
          <w:rFonts w:ascii="Arial" w:hAnsi="Arial" w:cs="Arial"/>
        </w:rPr>
        <w:t xml:space="preserve"> We therefore aimed to determine whether circulating miRNA abundance differs according to familial risk of T2D and RF</w:t>
      </w:r>
      <w:r w:rsidR="00AF4453">
        <w:rPr>
          <w:rFonts w:ascii="Arial" w:hAnsi="Arial" w:cs="Arial"/>
        </w:rPr>
        <w:t>.</w:t>
      </w:r>
    </w:p>
    <w:p w14:paraId="12ACEE87" w14:textId="77777777" w:rsidR="001F3E27" w:rsidRPr="001F3E27" w:rsidRDefault="001F3E27" w:rsidP="001F3E27">
      <w:pPr>
        <w:rPr>
          <w:rFonts w:ascii="Arial" w:hAnsi="Arial" w:cs="Arial"/>
        </w:rPr>
      </w:pPr>
    </w:p>
    <w:p w14:paraId="43915557" w14:textId="3B6F4430" w:rsidR="001F3E27" w:rsidRPr="001F3E27" w:rsidRDefault="001F3E27" w:rsidP="001F3E27">
      <w:pPr>
        <w:rPr>
          <w:rFonts w:ascii="Arial" w:hAnsi="Arial" w:cs="Arial"/>
        </w:rPr>
      </w:pPr>
      <w:r w:rsidRPr="001F3E27">
        <w:rPr>
          <w:rFonts w:ascii="Arial" w:hAnsi="Arial" w:cs="Arial"/>
          <w:b/>
          <w:bCs/>
        </w:rPr>
        <w:t>Methods:</w:t>
      </w:r>
      <w:r>
        <w:rPr>
          <w:rFonts w:ascii="Arial" w:hAnsi="Arial" w:cs="Arial"/>
          <w:b/>
          <w:bCs/>
        </w:rPr>
        <w:t xml:space="preserve"> </w:t>
      </w:r>
      <w:r w:rsidR="00F56D81" w:rsidRPr="00F56D81">
        <w:rPr>
          <w:rFonts w:ascii="Arial" w:hAnsi="Arial" w:cs="Arial"/>
        </w:rPr>
        <w:t xml:space="preserve">This cross-sectional design assessed a discovery subset (n=81) from a historical 2×2 factorial cohort (N=288) of unaffected </w:t>
      </w:r>
      <w:r w:rsidR="00B349B8" w:rsidRPr="00F56D81">
        <w:rPr>
          <w:rFonts w:ascii="Arial" w:hAnsi="Arial" w:cs="Arial"/>
        </w:rPr>
        <w:t>first-degree relatives</w:t>
      </w:r>
      <w:r w:rsidR="00B349B8">
        <w:rPr>
          <w:rFonts w:ascii="Arial" w:hAnsi="Arial" w:cs="Arial"/>
        </w:rPr>
        <w:t xml:space="preserve"> of</w:t>
      </w:r>
      <w:r w:rsidR="00B349B8" w:rsidRPr="00F56D81">
        <w:rPr>
          <w:rFonts w:ascii="Arial" w:hAnsi="Arial" w:cs="Arial"/>
        </w:rPr>
        <w:t xml:space="preserve"> </w:t>
      </w:r>
      <w:r w:rsidR="00F56D81" w:rsidRPr="00F56D81">
        <w:rPr>
          <w:rFonts w:ascii="Arial" w:hAnsi="Arial" w:cs="Arial"/>
        </w:rPr>
        <w:t xml:space="preserve">Māori and Pasifika </w:t>
      </w:r>
      <w:r w:rsidR="00B349B8">
        <w:rPr>
          <w:rFonts w:ascii="Arial" w:hAnsi="Arial" w:cs="Arial"/>
        </w:rPr>
        <w:t xml:space="preserve">individuals </w:t>
      </w:r>
      <w:r w:rsidR="00F56D81" w:rsidRPr="00F56D81">
        <w:rPr>
          <w:rFonts w:ascii="Arial" w:hAnsi="Arial" w:cs="Arial"/>
        </w:rPr>
        <w:t xml:space="preserve">with T2D and/or RF. Circulating miRNA abundance was measured using TaqMan PCR on the </w:t>
      </w:r>
      <w:proofErr w:type="spellStart"/>
      <w:r w:rsidR="00F56D81" w:rsidRPr="00F56D81">
        <w:rPr>
          <w:rFonts w:ascii="Arial" w:hAnsi="Arial" w:cs="Arial"/>
        </w:rPr>
        <w:t>OpenArray</w:t>
      </w:r>
      <w:proofErr w:type="spellEnd"/>
      <w:r w:rsidR="00F56D81" w:rsidRPr="00F56D81">
        <w:rPr>
          <w:rFonts w:ascii="Arial" w:hAnsi="Arial" w:cs="Arial"/>
        </w:rPr>
        <w:t xml:space="preserve"> platform. miRNAs with detectable signal (fold-over-detection, </w:t>
      </w:r>
      <w:proofErr w:type="spellStart"/>
      <w:r w:rsidR="00F56D81" w:rsidRPr="00F56D81">
        <w:rPr>
          <w:rFonts w:ascii="Arial" w:hAnsi="Arial" w:cs="Arial"/>
        </w:rPr>
        <w:t>FoD</w:t>
      </w:r>
      <w:proofErr w:type="spellEnd"/>
      <w:r w:rsidR="00F56D81" w:rsidRPr="00F56D81">
        <w:rPr>
          <w:rFonts w:ascii="Arial" w:hAnsi="Arial" w:cs="Arial"/>
        </w:rPr>
        <w:t>&gt;1) in ≥20% of participants were retained for analyses. Missing miRNA values were imputed using the median within the T2D/RF group. Log</w:t>
      </w:r>
      <w:r w:rsidR="00F56D81" w:rsidRPr="00F56D81">
        <w:rPr>
          <w:rFonts w:ascii="Cambria Math" w:hAnsi="Cambria Math" w:cs="Cambria Math"/>
        </w:rPr>
        <w:t>₂</w:t>
      </w:r>
      <w:r w:rsidR="00F56D81" w:rsidRPr="00F56D81">
        <w:rPr>
          <w:rFonts w:ascii="Arial" w:hAnsi="Arial" w:cs="Arial"/>
        </w:rPr>
        <w:t>-transformed miRNA abundance was analysed using linear regression models adjusted for age, sex, ethnicity, and mean arterial pressure (primary model), with additional adjustment for C-reactive protein as a sensitivity analysis. Multiple testing was controlled using the Benjamini-Hochberg false discovery rate (FDR q&lt;0.05).</w:t>
      </w:r>
      <w:r w:rsidR="000E6CA6">
        <w:rPr>
          <w:rFonts w:ascii="Arial" w:hAnsi="Arial" w:cs="Arial"/>
        </w:rPr>
        <w:t xml:space="preserve"> </w:t>
      </w:r>
      <w:r w:rsidR="000E6CA6" w:rsidRPr="000E6CA6">
        <w:rPr>
          <w:rFonts w:ascii="Arial" w:hAnsi="Arial" w:cs="Arial"/>
        </w:rPr>
        <w:t>Principal component analysis (PCA) and t-distributed stochastic neighbour embedding (t-SNE) were used to explore clustering of miRNA profiles by familial risk.</w:t>
      </w:r>
    </w:p>
    <w:p w14:paraId="3983B263" w14:textId="77777777" w:rsidR="001F3E27" w:rsidRPr="001F3E27" w:rsidRDefault="001F3E27" w:rsidP="001F3E27">
      <w:pPr>
        <w:rPr>
          <w:rFonts w:ascii="Arial" w:hAnsi="Arial" w:cs="Arial"/>
        </w:rPr>
      </w:pPr>
    </w:p>
    <w:p w14:paraId="411644BB" w14:textId="05CDD7C1" w:rsidR="001F3E27" w:rsidRPr="001F3E27" w:rsidRDefault="001F3E27" w:rsidP="001F3E27">
      <w:pPr>
        <w:rPr>
          <w:rFonts w:ascii="Arial" w:hAnsi="Arial" w:cs="Arial"/>
        </w:rPr>
      </w:pPr>
      <w:r w:rsidRPr="001F3E27">
        <w:rPr>
          <w:rFonts w:ascii="Arial" w:hAnsi="Arial" w:cs="Arial"/>
          <w:b/>
          <w:bCs/>
        </w:rPr>
        <w:t>Results:</w:t>
      </w:r>
      <w:r>
        <w:rPr>
          <w:rFonts w:ascii="Arial" w:hAnsi="Arial" w:cs="Arial"/>
          <w:b/>
          <w:bCs/>
        </w:rPr>
        <w:t xml:space="preserve"> </w:t>
      </w:r>
      <w:r w:rsidR="00F56D81" w:rsidRPr="00F56D81">
        <w:rPr>
          <w:rFonts w:ascii="Arial" w:hAnsi="Arial" w:cs="Arial"/>
        </w:rPr>
        <w:t>Of 754 assayed miRNAs, 111 met the detectability threshold with 17-99 miRNAs detected per individual. In models evaluating T2D, microRNAs miR-215, miR-1274A, miR-145, miR-320, miR-194, and miR-648 showed significantly lower abundance (2</w:t>
      </w:r>
      <w:r w:rsidR="00F56D81" w:rsidRPr="004614DE">
        <w:rPr>
          <w:rFonts w:ascii="Arial" w:hAnsi="Arial" w:cs="Arial"/>
          <w:vertAlign w:val="superscript"/>
        </w:rPr>
        <w:t>-18</w:t>
      </w:r>
      <w:r w:rsidR="00F56D81" w:rsidRPr="00F56D81">
        <w:rPr>
          <w:rFonts w:ascii="Arial" w:hAnsi="Arial" w:cs="Arial"/>
        </w:rPr>
        <w:t xml:space="preserve"> to &lt;0.5-fold, q&lt;0.05, all). The strongest signals came from the T2D×RF familial risk interaction, with miR-648 demonstrating the largest effect </w:t>
      </w:r>
      <w:r w:rsidR="00F56D81" w:rsidRPr="00F5562B">
        <w:rPr>
          <w:rFonts w:ascii="Arial" w:hAnsi="Arial" w:cs="Arial"/>
        </w:rPr>
        <w:t>(2</w:t>
      </w:r>
      <w:r w:rsidR="00AF4453" w:rsidRPr="00F5562B">
        <w:rPr>
          <w:rFonts w:ascii="Arial" w:hAnsi="Arial" w:cs="Arial"/>
          <w:vertAlign w:val="superscript"/>
        </w:rPr>
        <w:t>2</w:t>
      </w:r>
      <w:r w:rsidR="0021438B" w:rsidRPr="00F5562B">
        <w:rPr>
          <w:rFonts w:ascii="Arial" w:hAnsi="Arial" w:cs="Arial"/>
          <w:vertAlign w:val="superscript"/>
        </w:rPr>
        <w:t>1</w:t>
      </w:r>
      <w:r w:rsidR="00F56D81" w:rsidRPr="00F5562B">
        <w:rPr>
          <w:rFonts w:ascii="Arial" w:hAnsi="Arial" w:cs="Arial"/>
        </w:rPr>
        <w:t>-fold, q&lt;0.001)</w:t>
      </w:r>
      <w:r w:rsidR="00F56D81" w:rsidRPr="00F56D81">
        <w:rPr>
          <w:rFonts w:ascii="Arial" w:hAnsi="Arial" w:cs="Arial"/>
        </w:rPr>
        <w:t>. Positive interaction effects were also observed for miR-1274B, miR-215, miR-99b, miR-122, and miR-145 (2</w:t>
      </w:r>
      <w:r w:rsidR="00F56D81" w:rsidRPr="004614DE">
        <w:rPr>
          <w:rFonts w:ascii="Arial" w:hAnsi="Arial" w:cs="Arial"/>
          <w:vertAlign w:val="superscript"/>
        </w:rPr>
        <w:t>4</w:t>
      </w:r>
      <w:r w:rsidR="00F56D81" w:rsidRPr="00F56D81">
        <w:rPr>
          <w:rFonts w:ascii="Arial" w:hAnsi="Arial" w:cs="Arial"/>
        </w:rPr>
        <w:t xml:space="preserve"> to &lt;2</w:t>
      </w:r>
      <w:r w:rsidR="00F56D81" w:rsidRPr="004614DE">
        <w:rPr>
          <w:rFonts w:ascii="Arial" w:hAnsi="Arial" w:cs="Arial"/>
          <w:vertAlign w:val="superscript"/>
        </w:rPr>
        <w:t>12</w:t>
      </w:r>
      <w:r w:rsidR="00F56D81" w:rsidRPr="00F56D81">
        <w:rPr>
          <w:rFonts w:ascii="Arial" w:hAnsi="Arial" w:cs="Arial"/>
        </w:rPr>
        <w:t>-fold, q&lt;0.05, all). PCA</w:t>
      </w:r>
      <w:r w:rsidR="00597246">
        <w:rPr>
          <w:rFonts w:ascii="Arial" w:hAnsi="Arial" w:cs="Arial"/>
        </w:rPr>
        <w:t xml:space="preserve"> and </w:t>
      </w:r>
      <w:r w:rsidR="00F56D81" w:rsidRPr="00F56D81">
        <w:rPr>
          <w:rFonts w:ascii="Arial" w:hAnsi="Arial" w:cs="Arial"/>
        </w:rPr>
        <w:t xml:space="preserve">t-SNE </w:t>
      </w:r>
      <w:r w:rsidR="000E6CA6">
        <w:rPr>
          <w:rFonts w:ascii="Arial" w:hAnsi="Arial" w:cs="Arial"/>
        </w:rPr>
        <w:t xml:space="preserve">demonstrated clear clustering by familial risk using </w:t>
      </w:r>
      <w:r w:rsidR="00F56D81" w:rsidRPr="00F56D81">
        <w:rPr>
          <w:rFonts w:ascii="Arial" w:hAnsi="Arial" w:cs="Arial"/>
        </w:rPr>
        <w:t>circulating miRNA profiles</w:t>
      </w:r>
      <w:r w:rsidR="007870B3">
        <w:rPr>
          <w:rFonts w:ascii="Arial" w:hAnsi="Arial" w:cs="Arial"/>
        </w:rPr>
        <w:t>.</w:t>
      </w:r>
      <w:r w:rsidR="00F56D81" w:rsidRPr="00F56D81">
        <w:rPr>
          <w:rFonts w:ascii="Arial" w:hAnsi="Arial" w:cs="Arial"/>
        </w:rPr>
        <w:t xml:space="preserve"> </w:t>
      </w:r>
    </w:p>
    <w:p w14:paraId="0E57A0F7" w14:textId="77777777" w:rsidR="001F3E27" w:rsidRPr="001F3E27" w:rsidRDefault="001F3E27" w:rsidP="001F3E27">
      <w:pPr>
        <w:rPr>
          <w:rFonts w:ascii="Arial" w:hAnsi="Arial" w:cs="Arial"/>
        </w:rPr>
      </w:pPr>
    </w:p>
    <w:p w14:paraId="484FA34F" w14:textId="7A2E6AAF" w:rsidR="00830A4D" w:rsidRPr="007244F0" w:rsidRDefault="001F3E27">
      <w:pPr>
        <w:rPr>
          <w:rFonts w:ascii="Arial" w:hAnsi="Arial" w:cs="Arial"/>
        </w:rPr>
      </w:pPr>
      <w:r w:rsidRPr="001F3E27">
        <w:rPr>
          <w:rFonts w:ascii="Arial" w:hAnsi="Arial" w:cs="Arial"/>
          <w:b/>
          <w:bCs/>
        </w:rPr>
        <w:t>Conclusions:</w:t>
      </w:r>
      <w:r>
        <w:rPr>
          <w:rFonts w:ascii="Arial" w:hAnsi="Arial" w:cs="Arial"/>
          <w:b/>
          <w:bCs/>
        </w:rPr>
        <w:t xml:space="preserve"> </w:t>
      </w:r>
      <w:r w:rsidR="00F56D81" w:rsidRPr="00F56D81">
        <w:rPr>
          <w:rFonts w:ascii="Arial" w:hAnsi="Arial" w:cs="Arial"/>
        </w:rPr>
        <w:t xml:space="preserve">Circulating miRNA profiles differed </w:t>
      </w:r>
      <w:r w:rsidR="007870B3">
        <w:rPr>
          <w:rFonts w:ascii="Arial" w:hAnsi="Arial" w:cs="Arial"/>
        </w:rPr>
        <w:t>between</w:t>
      </w:r>
      <w:r w:rsidR="000E6CA6">
        <w:rPr>
          <w:rFonts w:ascii="Arial" w:hAnsi="Arial" w:cs="Arial"/>
        </w:rPr>
        <w:t xml:space="preserve"> familial risk strata, </w:t>
      </w:r>
      <w:r w:rsidR="00F56D81" w:rsidRPr="00F56D81">
        <w:rPr>
          <w:rFonts w:ascii="Arial" w:hAnsi="Arial" w:cs="Arial"/>
        </w:rPr>
        <w:t xml:space="preserve">suggesting </w:t>
      </w:r>
      <w:r w:rsidR="000E6CA6">
        <w:rPr>
          <w:rFonts w:ascii="Arial" w:hAnsi="Arial" w:cs="Arial"/>
        </w:rPr>
        <w:t>genetic</w:t>
      </w:r>
      <w:r w:rsidR="007870B3">
        <w:rPr>
          <w:rFonts w:ascii="Arial" w:hAnsi="Arial" w:cs="Arial"/>
        </w:rPr>
        <w:t>/</w:t>
      </w:r>
      <w:r w:rsidR="000E6CA6">
        <w:rPr>
          <w:rFonts w:ascii="Arial" w:hAnsi="Arial" w:cs="Arial"/>
        </w:rPr>
        <w:t>epigenetic risk may be reflected in miRNA dysregulation and could inform early risk stratification.</w:t>
      </w: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3111"/>
    <w:rsid w:val="00074B1D"/>
    <w:rsid w:val="000E6CA6"/>
    <w:rsid w:val="00103F40"/>
    <w:rsid w:val="00106E65"/>
    <w:rsid w:val="0016175F"/>
    <w:rsid w:val="001F3E27"/>
    <w:rsid w:val="002072EF"/>
    <w:rsid w:val="0021438B"/>
    <w:rsid w:val="0028124D"/>
    <w:rsid w:val="003558DE"/>
    <w:rsid w:val="00376B39"/>
    <w:rsid w:val="00380F00"/>
    <w:rsid w:val="003D4414"/>
    <w:rsid w:val="003D6160"/>
    <w:rsid w:val="0041559A"/>
    <w:rsid w:val="00457D65"/>
    <w:rsid w:val="004614DE"/>
    <w:rsid w:val="004872FA"/>
    <w:rsid w:val="00487AB0"/>
    <w:rsid w:val="00491850"/>
    <w:rsid w:val="00497EF2"/>
    <w:rsid w:val="004B0A09"/>
    <w:rsid w:val="004E09DD"/>
    <w:rsid w:val="00597246"/>
    <w:rsid w:val="005C53FC"/>
    <w:rsid w:val="005E73FA"/>
    <w:rsid w:val="0063728C"/>
    <w:rsid w:val="006927EC"/>
    <w:rsid w:val="006B00E6"/>
    <w:rsid w:val="00722BE7"/>
    <w:rsid w:val="007244F0"/>
    <w:rsid w:val="00727D52"/>
    <w:rsid w:val="007870B3"/>
    <w:rsid w:val="00810491"/>
    <w:rsid w:val="00830A4D"/>
    <w:rsid w:val="008427FA"/>
    <w:rsid w:val="0086236D"/>
    <w:rsid w:val="008953CF"/>
    <w:rsid w:val="008D1C9E"/>
    <w:rsid w:val="008F4B77"/>
    <w:rsid w:val="009850E2"/>
    <w:rsid w:val="009A582D"/>
    <w:rsid w:val="009A6FD8"/>
    <w:rsid w:val="009C328C"/>
    <w:rsid w:val="009D79DB"/>
    <w:rsid w:val="009F6AC4"/>
    <w:rsid w:val="00A60D00"/>
    <w:rsid w:val="00A85759"/>
    <w:rsid w:val="00AF4453"/>
    <w:rsid w:val="00B349B8"/>
    <w:rsid w:val="00BA5CAE"/>
    <w:rsid w:val="00BB14D0"/>
    <w:rsid w:val="00BC73E4"/>
    <w:rsid w:val="00BE0713"/>
    <w:rsid w:val="00D14C7B"/>
    <w:rsid w:val="00D35872"/>
    <w:rsid w:val="00D56368"/>
    <w:rsid w:val="00D65E2E"/>
    <w:rsid w:val="00D8615A"/>
    <w:rsid w:val="00DC294F"/>
    <w:rsid w:val="00DD0D64"/>
    <w:rsid w:val="00E95EDC"/>
    <w:rsid w:val="00EA0BE9"/>
    <w:rsid w:val="00EA4E8C"/>
    <w:rsid w:val="00EE3208"/>
    <w:rsid w:val="00F10B88"/>
    <w:rsid w:val="00F5562B"/>
    <w:rsid w:val="00F56D81"/>
    <w:rsid w:val="00F74330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1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81178-0953-49EF-8402-9DB172C90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Kanchana Perera</cp:lastModifiedBy>
  <cp:revision>2</cp:revision>
  <dcterms:created xsi:type="dcterms:W3CDTF">2026-03-16T00:55:00Z</dcterms:created>
  <dcterms:modified xsi:type="dcterms:W3CDTF">2026-03-16T00:55:00Z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