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11C2" w14:textId="140B2FD0" w:rsidR="00F06D59" w:rsidRPr="004B4A0C" w:rsidRDefault="609010E4">
      <w:pPr>
        <w:rPr>
          <w:rFonts w:ascii="Arial" w:hAnsi="Arial" w:cs="Arial"/>
          <w:sz w:val="22"/>
          <w:szCs w:val="22"/>
        </w:rPr>
      </w:pPr>
      <w:r w:rsidRPr="004B4A0C">
        <w:rPr>
          <w:rFonts w:ascii="Arial" w:hAnsi="Arial" w:cs="Arial"/>
          <w:b/>
          <w:bCs/>
          <w:sz w:val="22"/>
          <w:szCs w:val="22"/>
        </w:rPr>
        <w:t xml:space="preserve">Title: </w:t>
      </w:r>
      <w:r w:rsidRPr="004B4A0C">
        <w:rPr>
          <w:rFonts w:ascii="Arial" w:hAnsi="Arial" w:cs="Arial"/>
          <w:sz w:val="22"/>
          <w:szCs w:val="22"/>
        </w:rPr>
        <w:t>GP referrals for benign palpitations: retrospective review of two strategies</w:t>
      </w:r>
    </w:p>
    <w:p w14:paraId="316567BE" w14:textId="7D399FAF" w:rsidR="00F06D59" w:rsidRPr="004B4A0C" w:rsidRDefault="609010E4" w:rsidP="18807990">
      <w:pPr>
        <w:rPr>
          <w:rFonts w:ascii="Arial" w:hAnsi="Arial" w:cs="Arial"/>
          <w:sz w:val="22"/>
          <w:szCs w:val="22"/>
        </w:rPr>
      </w:pPr>
      <w:r w:rsidRPr="004B4A0C">
        <w:rPr>
          <w:rFonts w:ascii="Arial" w:hAnsi="Arial" w:cs="Arial"/>
          <w:b/>
          <w:bCs/>
          <w:sz w:val="22"/>
          <w:szCs w:val="22"/>
        </w:rPr>
        <w:t xml:space="preserve">Background: </w:t>
      </w:r>
      <w:r w:rsidRPr="004B4A0C">
        <w:rPr>
          <w:rFonts w:ascii="Arial" w:hAnsi="Arial" w:cs="Arial"/>
          <w:sz w:val="22"/>
          <w:szCs w:val="22"/>
        </w:rPr>
        <w:t xml:space="preserve">Palpitations are usually </w:t>
      </w:r>
      <w:proofErr w:type="gramStart"/>
      <w:r w:rsidRPr="004B4A0C">
        <w:rPr>
          <w:rFonts w:ascii="Arial" w:hAnsi="Arial" w:cs="Arial"/>
          <w:sz w:val="22"/>
          <w:szCs w:val="22"/>
        </w:rPr>
        <w:t>benign, yet</w:t>
      </w:r>
      <w:proofErr w:type="gramEnd"/>
      <w:r w:rsidRPr="004B4A0C">
        <w:rPr>
          <w:rFonts w:ascii="Arial" w:hAnsi="Arial" w:cs="Arial"/>
          <w:sz w:val="22"/>
          <w:szCs w:val="22"/>
        </w:rPr>
        <w:t xml:space="preserve"> are the most frequent reason for cardiology referral (and the most commonly declined at 25%). This retrospective study evaluates the safety of two triaging strategies—Decline vs. Monitor—for palpitations at </w:t>
      </w:r>
      <w:proofErr w:type="spellStart"/>
      <w:r w:rsidRPr="004B4A0C">
        <w:rPr>
          <w:rFonts w:ascii="Arial" w:hAnsi="Arial" w:cs="Arial"/>
          <w:sz w:val="22"/>
          <w:szCs w:val="22"/>
        </w:rPr>
        <w:t>Waitematā</w:t>
      </w:r>
      <w:proofErr w:type="spellEnd"/>
      <w:r w:rsidRPr="004B4A0C">
        <w:rPr>
          <w:rFonts w:ascii="Arial" w:hAnsi="Arial" w:cs="Arial"/>
          <w:sz w:val="22"/>
          <w:szCs w:val="22"/>
        </w:rPr>
        <w:t xml:space="preserve"> District Health Board. Our classification of these strategies was post-hoc. We assess whether declined patients experience adverse outcomes.  </w:t>
      </w:r>
    </w:p>
    <w:p w14:paraId="4C4E0E60" w14:textId="66F07516" w:rsidR="00F06D59" w:rsidRPr="004B4A0C" w:rsidRDefault="609010E4" w:rsidP="18807990">
      <w:pPr>
        <w:rPr>
          <w:rFonts w:ascii="Arial" w:hAnsi="Arial" w:cs="Arial"/>
          <w:sz w:val="22"/>
          <w:szCs w:val="22"/>
        </w:rPr>
      </w:pPr>
      <w:r w:rsidRPr="004B4A0C">
        <w:rPr>
          <w:rFonts w:ascii="Arial" w:hAnsi="Arial" w:cs="Arial"/>
          <w:b/>
          <w:bCs/>
          <w:sz w:val="22"/>
          <w:szCs w:val="22"/>
        </w:rPr>
        <w:t xml:space="preserve">Method: </w:t>
      </w:r>
      <w:r w:rsidRPr="004B4A0C">
        <w:rPr>
          <w:rFonts w:ascii="Arial" w:hAnsi="Arial" w:cs="Arial"/>
          <w:sz w:val="22"/>
          <w:szCs w:val="22"/>
        </w:rPr>
        <w:t xml:space="preserve">We </w:t>
      </w:r>
      <w:proofErr w:type="spellStart"/>
      <w:r w:rsidRPr="004B4A0C">
        <w:rPr>
          <w:rFonts w:ascii="Arial" w:hAnsi="Arial" w:cs="Arial"/>
          <w:sz w:val="22"/>
          <w:szCs w:val="22"/>
        </w:rPr>
        <w:t>analysed</w:t>
      </w:r>
      <w:proofErr w:type="spellEnd"/>
      <w:r w:rsidRPr="004B4A0C">
        <w:rPr>
          <w:rFonts w:ascii="Arial" w:hAnsi="Arial" w:cs="Arial"/>
          <w:sz w:val="22"/>
          <w:szCs w:val="22"/>
        </w:rPr>
        <w:t xml:space="preserve"> GP referrals declined for cardiology review (Jan 2022–Dec 2023) and those directed to Holter/Event monitors (over a longer time frame to get adequate numbers: Aug 2018–July 2023).  Patients with any previous cardiology encounter were excluded.  Electronic records were reviewed. </w:t>
      </w:r>
    </w:p>
    <w:p w14:paraId="4E0D6139" w14:textId="0EBB584C" w:rsidR="00F06D59" w:rsidRPr="004B4A0C" w:rsidRDefault="609010E4" w:rsidP="18807990">
      <w:pPr>
        <w:rPr>
          <w:rFonts w:ascii="Arial" w:hAnsi="Arial" w:cs="Arial"/>
          <w:sz w:val="22"/>
          <w:szCs w:val="22"/>
        </w:rPr>
      </w:pPr>
      <w:r w:rsidRPr="004B4A0C">
        <w:rPr>
          <w:rFonts w:ascii="Arial" w:hAnsi="Arial" w:cs="Arial"/>
          <w:b/>
          <w:bCs/>
          <w:sz w:val="22"/>
          <w:szCs w:val="22"/>
        </w:rPr>
        <w:t xml:space="preserve">Results: </w:t>
      </w:r>
      <w:r w:rsidRPr="004B4A0C">
        <w:rPr>
          <w:rFonts w:ascii="Arial" w:hAnsi="Arial" w:cs="Arial"/>
          <w:sz w:val="22"/>
          <w:szCs w:val="22"/>
        </w:rPr>
        <w:t xml:space="preserve">A total of 314 patients were in the declined group and 75 in the monitored group. There were no significant differences in baseline characteristics or outcomes.  Two-thirds in both groups were women. Obesity was present in 25% and 35%, asthma in 16% and 20%, and mental health disorders in 21% and 27%, respectively. Over the 12 months </w:t>
      </w:r>
      <w:proofErr w:type="gramStart"/>
      <w:r w:rsidRPr="004B4A0C">
        <w:rPr>
          <w:rFonts w:ascii="Arial" w:hAnsi="Arial" w:cs="Arial"/>
          <w:sz w:val="22"/>
          <w:szCs w:val="22"/>
        </w:rPr>
        <w:t>subsequent to</w:t>
      </w:r>
      <w:proofErr w:type="gramEnd"/>
      <w:r w:rsidRPr="004B4A0C">
        <w:rPr>
          <w:rFonts w:ascii="Arial" w:hAnsi="Arial" w:cs="Arial"/>
          <w:sz w:val="22"/>
          <w:szCs w:val="22"/>
        </w:rPr>
        <w:t xml:space="preserve"> referral, antiarrhythmics were initiated </w:t>
      </w:r>
      <w:proofErr w:type="gramStart"/>
      <w:r w:rsidRPr="004B4A0C">
        <w:rPr>
          <w:rFonts w:ascii="Arial" w:hAnsi="Arial" w:cs="Arial"/>
          <w:sz w:val="22"/>
          <w:szCs w:val="22"/>
        </w:rPr>
        <w:t>in</w:t>
      </w:r>
      <w:proofErr w:type="gramEnd"/>
      <w:r w:rsidRPr="004B4A0C">
        <w:rPr>
          <w:rFonts w:ascii="Arial" w:hAnsi="Arial" w:cs="Arial"/>
          <w:sz w:val="22"/>
          <w:szCs w:val="22"/>
        </w:rPr>
        <w:t xml:space="preserve"> 8.6% and 11%. Re-referral rates were 14% and 19%. Hospital admissions for documented arrhythmia occurred in 0.6% (n=2) and 5% (n=4).  </w:t>
      </w:r>
    </w:p>
    <w:p w14:paraId="38F39614" w14:textId="2C738D6D" w:rsidR="00F06D59" w:rsidRPr="004B4A0C" w:rsidRDefault="609010E4" w:rsidP="18807990">
      <w:pPr>
        <w:rPr>
          <w:rFonts w:ascii="Arial" w:hAnsi="Arial" w:cs="Arial"/>
          <w:sz w:val="22"/>
          <w:szCs w:val="22"/>
        </w:rPr>
      </w:pPr>
      <w:r w:rsidRPr="004B4A0C">
        <w:rPr>
          <w:rFonts w:ascii="Arial" w:hAnsi="Arial" w:cs="Arial"/>
          <w:b/>
          <w:bCs/>
          <w:sz w:val="22"/>
          <w:szCs w:val="22"/>
        </w:rPr>
        <w:t xml:space="preserve">Conclusion: </w:t>
      </w:r>
      <w:r w:rsidRPr="004B4A0C">
        <w:rPr>
          <w:rFonts w:ascii="Arial" w:hAnsi="Arial" w:cs="Arial"/>
          <w:sz w:val="22"/>
          <w:szCs w:val="22"/>
        </w:rPr>
        <w:t xml:space="preserve">Declining specialist review for benign palpitations appears safe, with few adverse outcomes. The lower arrhythmia-related admission rate in the declined group may reflect </w:t>
      </w:r>
      <w:proofErr w:type="spellStart"/>
      <w:r w:rsidRPr="004B4A0C">
        <w:rPr>
          <w:rFonts w:ascii="Arial" w:hAnsi="Arial" w:cs="Arial"/>
          <w:sz w:val="22"/>
          <w:szCs w:val="22"/>
        </w:rPr>
        <w:t>triagers</w:t>
      </w:r>
      <w:proofErr w:type="spellEnd"/>
      <w:r w:rsidRPr="004B4A0C">
        <w:rPr>
          <w:rFonts w:ascii="Arial" w:hAnsi="Arial" w:cs="Arial"/>
          <w:sz w:val="22"/>
          <w:szCs w:val="22"/>
        </w:rPr>
        <w:t xml:space="preserve"> accurately identifying low risk cases. Although this analysis does not identify specific triaging criteria, it suggests </w:t>
      </w:r>
      <w:proofErr w:type="spellStart"/>
      <w:r w:rsidRPr="004B4A0C">
        <w:rPr>
          <w:rFonts w:ascii="Arial" w:hAnsi="Arial" w:cs="Arial"/>
          <w:sz w:val="22"/>
          <w:szCs w:val="22"/>
        </w:rPr>
        <w:t>triagers</w:t>
      </w:r>
      <w:proofErr w:type="spellEnd"/>
      <w:r w:rsidRPr="004B4A0C">
        <w:rPr>
          <w:rFonts w:ascii="Arial" w:hAnsi="Arial" w:cs="Arial"/>
          <w:sz w:val="22"/>
          <w:szCs w:val="22"/>
        </w:rPr>
        <w:t xml:space="preserve"> can appropriately identify and decline benign palpitations. Further research should refine triaging criteria to </w:t>
      </w:r>
      <w:proofErr w:type="spellStart"/>
      <w:r w:rsidRPr="004B4A0C">
        <w:rPr>
          <w:rFonts w:ascii="Arial" w:hAnsi="Arial" w:cs="Arial"/>
          <w:sz w:val="22"/>
          <w:szCs w:val="22"/>
        </w:rPr>
        <w:t>optimise</w:t>
      </w:r>
      <w:proofErr w:type="spellEnd"/>
      <w:r w:rsidRPr="004B4A0C">
        <w:rPr>
          <w:rFonts w:ascii="Arial" w:hAnsi="Arial" w:cs="Arial"/>
          <w:sz w:val="22"/>
          <w:szCs w:val="22"/>
        </w:rPr>
        <w:t xml:space="preserve"> specialist referrals. </w:t>
      </w:r>
    </w:p>
    <w:p w14:paraId="459CF0D2" w14:textId="653560C4" w:rsidR="00F06D59" w:rsidRPr="004B4A0C" w:rsidRDefault="609010E4" w:rsidP="18807990">
      <w:pPr>
        <w:rPr>
          <w:rFonts w:ascii="Arial" w:hAnsi="Arial" w:cs="Arial"/>
          <w:sz w:val="22"/>
          <w:szCs w:val="22"/>
        </w:rPr>
      </w:pPr>
      <w:r w:rsidRPr="004B4A0C">
        <w:rPr>
          <w:rFonts w:ascii="Arial" w:hAnsi="Arial" w:cs="Arial"/>
          <w:sz w:val="22"/>
          <w:szCs w:val="22"/>
        </w:rPr>
        <w:t xml:space="preserve"> </w:t>
      </w:r>
    </w:p>
    <w:p w14:paraId="777526F9" w14:textId="03042086" w:rsidR="00F06D59" w:rsidRPr="004B4A0C" w:rsidRDefault="00F06D59" w:rsidP="18807990">
      <w:pPr>
        <w:rPr>
          <w:rFonts w:ascii="Arial" w:hAnsi="Arial" w:cs="Arial"/>
          <w:sz w:val="22"/>
          <w:szCs w:val="22"/>
        </w:rPr>
      </w:pPr>
    </w:p>
    <w:p w14:paraId="2C078E63" w14:textId="3164AE08" w:rsidR="00F06D59" w:rsidRPr="004B4A0C" w:rsidRDefault="00F06D59">
      <w:pPr>
        <w:rPr>
          <w:rFonts w:ascii="Arial" w:hAnsi="Arial" w:cs="Arial"/>
          <w:sz w:val="22"/>
          <w:szCs w:val="22"/>
        </w:rPr>
      </w:pPr>
    </w:p>
    <w:sectPr w:rsidR="00F06D59" w:rsidRPr="004B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6805DE"/>
    <w:rsid w:val="004B3957"/>
    <w:rsid w:val="004B4A0C"/>
    <w:rsid w:val="00F06D59"/>
    <w:rsid w:val="18807990"/>
    <w:rsid w:val="436805DE"/>
    <w:rsid w:val="6090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05DE"/>
  <w15:chartTrackingRefBased/>
  <w15:docId w15:val="{F2CE10B5-E134-4B31-9AAE-FBB319EE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Lesiawan (WDHB)</dc:creator>
  <cp:keywords/>
  <dc:description/>
  <cp:lastModifiedBy>Lucy Casey-Connell</cp:lastModifiedBy>
  <cp:revision>2</cp:revision>
  <dcterms:created xsi:type="dcterms:W3CDTF">2025-02-16T19:24:00Z</dcterms:created>
  <dcterms:modified xsi:type="dcterms:W3CDTF">2025-02-16T19:24:00Z</dcterms:modified>
</cp:coreProperties>
</file>