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83F45" w14:textId="57B54423" w:rsidR="009D79DB" w:rsidRPr="007244F0" w:rsidRDefault="003E1442" w:rsidP="003E1442">
      <w:pPr>
        <w:jc w:val="both"/>
        <w:rPr>
          <w:rFonts w:ascii="Arial" w:hAnsi="Arial" w:cs="Arial"/>
        </w:rPr>
      </w:pPr>
      <w:r w:rsidRPr="003E1442">
        <w:rPr>
          <w:rFonts w:ascii="Arial" w:hAnsi="Arial" w:cs="Arial"/>
          <w:i/>
          <w:iCs/>
        </w:rPr>
        <w:t xml:space="preserve">Insulin orchestrates global plasma membrane proteome remodelling </w:t>
      </w:r>
      <w:r w:rsidR="00D42E36">
        <w:rPr>
          <w:rFonts w:ascii="Arial" w:hAnsi="Arial" w:cs="Arial"/>
          <w:i/>
          <w:iCs/>
        </w:rPr>
        <w:t xml:space="preserve">that is </w:t>
      </w:r>
      <w:r w:rsidRPr="003E1442">
        <w:rPr>
          <w:rFonts w:ascii="Arial" w:hAnsi="Arial" w:cs="Arial"/>
          <w:i/>
          <w:iCs/>
        </w:rPr>
        <w:t>disrupted in adipocyte insulin resistance</w:t>
      </w:r>
    </w:p>
    <w:p w14:paraId="265C7D9B" w14:textId="77777777" w:rsidR="008427FA" w:rsidRPr="007244F0" w:rsidRDefault="008427FA" w:rsidP="003E1442">
      <w:pPr>
        <w:jc w:val="both"/>
        <w:rPr>
          <w:rFonts w:ascii="Arial" w:hAnsi="Arial" w:cs="Arial"/>
        </w:rPr>
      </w:pPr>
    </w:p>
    <w:p w14:paraId="7D46DD6C" w14:textId="77777777" w:rsidR="008427FA" w:rsidRPr="007244F0" w:rsidRDefault="008427FA" w:rsidP="003E1442">
      <w:pPr>
        <w:jc w:val="both"/>
        <w:rPr>
          <w:rFonts w:ascii="Arial" w:hAnsi="Arial" w:cs="Arial"/>
        </w:rPr>
      </w:pPr>
    </w:p>
    <w:p w14:paraId="035B93E1" w14:textId="7E4BC4F2" w:rsidR="008D689C" w:rsidRPr="008D689C" w:rsidRDefault="008D689C" w:rsidP="008D689C">
      <w:pPr>
        <w:jc w:val="both"/>
        <w:rPr>
          <w:rFonts w:ascii="Arial" w:hAnsi="Arial" w:cs="Arial"/>
        </w:rPr>
      </w:pPr>
      <w:r w:rsidRPr="008D689C">
        <w:rPr>
          <w:rFonts w:ascii="Arial" w:hAnsi="Arial" w:cs="Arial"/>
          <w:b/>
          <w:bCs/>
        </w:rPr>
        <w:t>Aim</w:t>
      </w:r>
      <w:r>
        <w:rPr>
          <w:rFonts w:ascii="Arial" w:hAnsi="Arial" w:cs="Arial"/>
          <w:b/>
          <w:bCs/>
        </w:rPr>
        <w:t xml:space="preserve">: </w:t>
      </w:r>
      <w:r w:rsidRPr="008D689C">
        <w:rPr>
          <w:rFonts w:ascii="Arial" w:hAnsi="Arial" w:cs="Arial"/>
        </w:rPr>
        <w:t xml:space="preserve">The plasma membrane (PM) is a central metabolic interface that governs nutrient uptake, signalling, and endocrine responsiveness. While insulin-driven GLUT4 translocation is a defining feature of adipocyte insulin action, the broader extent of insulin-dependent PM </w:t>
      </w:r>
      <w:proofErr w:type="spellStart"/>
      <w:r w:rsidRPr="008D689C">
        <w:rPr>
          <w:rFonts w:ascii="Arial" w:hAnsi="Arial" w:cs="Arial"/>
        </w:rPr>
        <w:t>remodeling</w:t>
      </w:r>
      <w:proofErr w:type="spellEnd"/>
      <w:r w:rsidRPr="008D689C">
        <w:rPr>
          <w:rFonts w:ascii="Arial" w:hAnsi="Arial" w:cs="Arial"/>
        </w:rPr>
        <w:t xml:space="preserve"> and its contribution to insulin resistance remain poorly understood. Here, we aimed to define the insulin-regulated PM trafficking landscape and determine how its disruption may contribute to metabolic dysfunction.</w:t>
      </w:r>
    </w:p>
    <w:p w14:paraId="6B44BFDB" w14:textId="77777777" w:rsidR="008D689C" w:rsidRPr="008D689C" w:rsidRDefault="008D689C" w:rsidP="008D689C">
      <w:pPr>
        <w:jc w:val="both"/>
        <w:rPr>
          <w:rFonts w:ascii="Arial" w:hAnsi="Arial" w:cs="Arial"/>
        </w:rPr>
      </w:pPr>
    </w:p>
    <w:p w14:paraId="3EB5DDEC" w14:textId="30B51156" w:rsidR="008D689C" w:rsidRPr="008D689C" w:rsidRDefault="008D689C" w:rsidP="008D689C">
      <w:pPr>
        <w:jc w:val="both"/>
        <w:rPr>
          <w:rFonts w:ascii="Arial" w:hAnsi="Arial" w:cs="Arial"/>
        </w:rPr>
      </w:pPr>
      <w:r w:rsidRPr="008D689C">
        <w:rPr>
          <w:rFonts w:ascii="Arial" w:hAnsi="Arial" w:cs="Arial"/>
          <w:b/>
          <w:bCs/>
        </w:rPr>
        <w:t xml:space="preserve">Methods: </w:t>
      </w:r>
      <w:r w:rsidRPr="008D689C">
        <w:rPr>
          <w:rFonts w:ascii="Arial" w:hAnsi="Arial" w:cs="Arial"/>
        </w:rPr>
        <w:t>We conducted a meta-analysis integrating nine independent adipocyte PM proteomic datasets derived from both mouse and human systems using complementary enrichment strategies, including cationic colloidal silica isolation, subcellular fractionation, amino</w:t>
      </w:r>
      <w:r w:rsidR="00F732A8">
        <w:rPr>
          <w:rFonts w:ascii="Arial" w:hAnsi="Arial" w:cs="Arial"/>
        </w:rPr>
        <w:t>-</w:t>
      </w:r>
      <w:r w:rsidRPr="008D689C">
        <w:rPr>
          <w:rFonts w:ascii="Arial" w:hAnsi="Arial" w:cs="Arial"/>
        </w:rPr>
        <w:t>oxy-</w:t>
      </w:r>
      <w:proofErr w:type="spellStart"/>
      <w:r w:rsidRPr="008D689C">
        <w:rPr>
          <w:rFonts w:ascii="Arial" w:hAnsi="Arial" w:cs="Arial"/>
        </w:rPr>
        <w:t>biotinylation</w:t>
      </w:r>
      <w:proofErr w:type="spellEnd"/>
      <w:r w:rsidRPr="008D689C">
        <w:rPr>
          <w:rFonts w:ascii="Arial" w:hAnsi="Arial" w:cs="Arial"/>
        </w:rPr>
        <w:t xml:space="preserve">, and amine-reactive </w:t>
      </w:r>
      <w:proofErr w:type="spellStart"/>
      <w:r w:rsidRPr="008D689C">
        <w:rPr>
          <w:rFonts w:ascii="Arial" w:hAnsi="Arial" w:cs="Arial"/>
        </w:rPr>
        <w:t>biotinylation</w:t>
      </w:r>
      <w:proofErr w:type="spellEnd"/>
      <w:r w:rsidRPr="008D689C">
        <w:rPr>
          <w:rFonts w:ascii="Arial" w:hAnsi="Arial" w:cs="Arial"/>
        </w:rPr>
        <w:t>. Candidate insulin-regulated cargo proteins were validated using fluorescence microscopy and high-resolution imaging approaches.</w:t>
      </w:r>
    </w:p>
    <w:p w14:paraId="620F6CDE" w14:textId="77777777" w:rsidR="008D689C" w:rsidRPr="008D689C" w:rsidRDefault="008D689C" w:rsidP="008D689C">
      <w:pPr>
        <w:jc w:val="both"/>
        <w:rPr>
          <w:rFonts w:ascii="Arial" w:hAnsi="Arial" w:cs="Arial"/>
        </w:rPr>
      </w:pPr>
    </w:p>
    <w:p w14:paraId="48433E0C" w14:textId="65889A6F" w:rsidR="008D689C" w:rsidRPr="008D689C" w:rsidRDefault="008D689C" w:rsidP="008D689C">
      <w:pPr>
        <w:jc w:val="both"/>
        <w:rPr>
          <w:rFonts w:ascii="Arial" w:hAnsi="Arial" w:cs="Arial"/>
        </w:rPr>
      </w:pPr>
      <w:r w:rsidRPr="008D689C">
        <w:rPr>
          <w:rFonts w:ascii="Arial" w:hAnsi="Arial" w:cs="Arial"/>
          <w:b/>
          <w:bCs/>
        </w:rPr>
        <w:t>Results:</w:t>
      </w:r>
      <w:r>
        <w:rPr>
          <w:rFonts w:ascii="Arial" w:hAnsi="Arial" w:cs="Arial"/>
        </w:rPr>
        <w:t xml:space="preserve"> </w:t>
      </w:r>
      <w:r w:rsidRPr="008D689C">
        <w:rPr>
          <w:rFonts w:ascii="Arial" w:hAnsi="Arial" w:cs="Arial"/>
        </w:rPr>
        <w:t>This integrative analysis identified 37 insulin-regulated PM proteins detected across multiple datasets, 30 of which had not previously been linked to insulin action. Notably, most cargos were distinct from canonical GLUT4 storage vesicles, indicating broader insulin-controlled trafficking programs. Given the physiological importance of solute carriers (SLCs) in systemic metabolic homeostasis, we identified 52 SLC transporters exhibiting ≥20% insulin-dependent changes in PM abundance, encompassing glucose, amino acid, lipid, and ion transport. KCC1 (SLC12A4) and PIT2 (SLC20A2) showed the most consistent insulin-stimulated PM recruitment and displayed strong associations with clinical metabolic phenotypes</w:t>
      </w:r>
      <w:r w:rsidR="00C40C31">
        <w:rPr>
          <w:rFonts w:ascii="Arial" w:hAnsi="Arial" w:cs="Arial"/>
        </w:rPr>
        <w:t xml:space="preserve"> in humans</w:t>
      </w:r>
      <w:r w:rsidRPr="008D689C">
        <w:rPr>
          <w:rFonts w:ascii="Arial" w:hAnsi="Arial" w:cs="Arial"/>
        </w:rPr>
        <w:t xml:space="preserve">. Functional knockdown </w:t>
      </w:r>
      <w:r w:rsidR="00F732A8">
        <w:rPr>
          <w:rFonts w:ascii="Arial" w:hAnsi="Arial" w:cs="Arial"/>
        </w:rPr>
        <w:t>of</w:t>
      </w:r>
      <w:r w:rsidR="00C40C31">
        <w:rPr>
          <w:rFonts w:ascii="Arial" w:hAnsi="Arial" w:cs="Arial"/>
        </w:rPr>
        <w:t xml:space="preserve"> either</w:t>
      </w:r>
      <w:r w:rsidR="00F732A8">
        <w:rPr>
          <w:rFonts w:ascii="Arial" w:hAnsi="Arial" w:cs="Arial"/>
        </w:rPr>
        <w:t xml:space="preserve"> </w:t>
      </w:r>
      <w:r w:rsidR="00C40C31">
        <w:rPr>
          <w:rFonts w:ascii="Arial" w:hAnsi="Arial" w:cs="Arial"/>
        </w:rPr>
        <w:t>PIT2 or KCC1</w:t>
      </w:r>
      <w:r w:rsidR="00F732A8">
        <w:rPr>
          <w:rFonts w:ascii="Arial" w:hAnsi="Arial" w:cs="Arial"/>
        </w:rPr>
        <w:t xml:space="preserve"> showed </w:t>
      </w:r>
      <w:r w:rsidRPr="008D689C">
        <w:rPr>
          <w:rFonts w:ascii="Arial" w:hAnsi="Arial" w:cs="Arial"/>
        </w:rPr>
        <w:t>impaired insulin-stimulated glucose uptake. Imaging revealed multi-endosomal localization, PI3K–AKT–dependent trafficking, and insulin dose responsiveness</w:t>
      </w:r>
      <w:r w:rsidR="00F732A8">
        <w:rPr>
          <w:rFonts w:ascii="Arial" w:hAnsi="Arial" w:cs="Arial"/>
        </w:rPr>
        <w:t xml:space="preserve"> of PIT2 and KCC1 trafficking</w:t>
      </w:r>
      <w:r w:rsidRPr="008D689C">
        <w:rPr>
          <w:rFonts w:ascii="Arial" w:hAnsi="Arial" w:cs="Arial"/>
        </w:rPr>
        <w:t>. Importantly, adipocyte insulin resistance induced by chronic hyperinsulinemia resulted in impaired transporter mobilization and increased perinuclear retention.</w:t>
      </w:r>
    </w:p>
    <w:p w14:paraId="56B03125" w14:textId="77777777" w:rsidR="008D689C" w:rsidRPr="008D689C" w:rsidRDefault="008D689C" w:rsidP="008D689C">
      <w:pPr>
        <w:jc w:val="both"/>
        <w:rPr>
          <w:rFonts w:ascii="Arial" w:hAnsi="Arial" w:cs="Arial"/>
        </w:rPr>
      </w:pPr>
    </w:p>
    <w:p w14:paraId="5AC8EF12" w14:textId="5B441A52" w:rsidR="008427FA" w:rsidRPr="007244F0" w:rsidRDefault="008D689C" w:rsidP="008D689C">
      <w:pPr>
        <w:jc w:val="both"/>
        <w:rPr>
          <w:rFonts w:ascii="Arial" w:hAnsi="Arial" w:cs="Arial"/>
        </w:rPr>
      </w:pPr>
      <w:r w:rsidRPr="008D689C">
        <w:rPr>
          <w:rFonts w:ascii="Arial" w:hAnsi="Arial" w:cs="Arial"/>
          <w:b/>
          <w:bCs/>
        </w:rPr>
        <w:t>Conclusion</w:t>
      </w:r>
      <w:r>
        <w:rPr>
          <w:rFonts w:ascii="Arial" w:hAnsi="Arial" w:cs="Arial"/>
        </w:rPr>
        <w:t xml:space="preserve">: </w:t>
      </w:r>
      <w:r w:rsidRPr="008D689C">
        <w:rPr>
          <w:rFonts w:ascii="Arial" w:hAnsi="Arial" w:cs="Arial"/>
        </w:rPr>
        <w:t>These findings reveal that insulin coordinates a systems-level PM trafficking program that extends beyond GLUT4 and is disrupted in insulin resistance. This work identifies defective plasma membrane cargo mobilization as a candidate cellular mechanism linking adipocyte trafficking dysfunction to whole-body metabolic disease.</w:t>
      </w:r>
    </w:p>
    <w:p w14:paraId="69886DD6" w14:textId="77777777" w:rsidR="008427FA" w:rsidRPr="007244F0" w:rsidRDefault="008427FA" w:rsidP="003E1442">
      <w:pPr>
        <w:jc w:val="both"/>
        <w:rPr>
          <w:rFonts w:ascii="Arial" w:hAnsi="Arial" w:cs="Arial"/>
        </w:rPr>
      </w:pPr>
    </w:p>
    <w:p w14:paraId="31EAA4F4" w14:textId="77777777" w:rsidR="008427FA" w:rsidRPr="007244F0" w:rsidRDefault="008427FA" w:rsidP="003E1442">
      <w:pPr>
        <w:jc w:val="both"/>
        <w:rPr>
          <w:rFonts w:ascii="Arial" w:hAnsi="Arial" w:cs="Arial"/>
        </w:rPr>
      </w:pPr>
    </w:p>
    <w:p w14:paraId="11C6E1EF" w14:textId="77777777" w:rsidR="008427FA" w:rsidRPr="007244F0" w:rsidRDefault="008427FA" w:rsidP="003E1442">
      <w:pPr>
        <w:jc w:val="both"/>
        <w:rPr>
          <w:rFonts w:ascii="Arial" w:hAnsi="Arial" w:cs="Arial"/>
        </w:rPr>
      </w:pPr>
    </w:p>
    <w:p w14:paraId="15D657A2" w14:textId="77777777" w:rsidR="008427FA" w:rsidRPr="007244F0" w:rsidRDefault="008427FA" w:rsidP="003E1442">
      <w:pPr>
        <w:jc w:val="both"/>
        <w:rPr>
          <w:rFonts w:ascii="Arial" w:hAnsi="Arial" w:cs="Arial"/>
        </w:rPr>
      </w:pPr>
    </w:p>
    <w:p w14:paraId="5AEC921B" w14:textId="77777777" w:rsidR="008427FA" w:rsidRPr="007244F0" w:rsidRDefault="008427FA" w:rsidP="003E1442">
      <w:pPr>
        <w:jc w:val="both"/>
        <w:rPr>
          <w:rFonts w:ascii="Arial" w:hAnsi="Arial" w:cs="Arial"/>
        </w:rPr>
      </w:pPr>
    </w:p>
    <w:p w14:paraId="40ADEEC0" w14:textId="77777777" w:rsidR="008427FA" w:rsidRPr="007244F0" w:rsidRDefault="008427FA" w:rsidP="003E1442">
      <w:pPr>
        <w:jc w:val="both"/>
        <w:rPr>
          <w:rFonts w:ascii="Arial" w:hAnsi="Arial" w:cs="Arial"/>
        </w:rPr>
      </w:pPr>
    </w:p>
    <w:p w14:paraId="6BAD0687" w14:textId="77777777" w:rsidR="008427FA" w:rsidRPr="007244F0" w:rsidRDefault="008427FA" w:rsidP="003E1442">
      <w:pPr>
        <w:jc w:val="both"/>
        <w:rPr>
          <w:rFonts w:ascii="Arial" w:hAnsi="Arial" w:cs="Arial"/>
        </w:rPr>
      </w:pPr>
    </w:p>
    <w:p w14:paraId="67E04D85" w14:textId="77777777" w:rsidR="008427FA" w:rsidRPr="007244F0" w:rsidRDefault="008427FA" w:rsidP="003E1442">
      <w:pPr>
        <w:jc w:val="both"/>
        <w:rPr>
          <w:rFonts w:ascii="Arial" w:hAnsi="Arial" w:cs="Arial"/>
        </w:rPr>
      </w:pPr>
    </w:p>
    <w:p w14:paraId="230AD77C" w14:textId="77777777" w:rsidR="008427FA" w:rsidRPr="007244F0" w:rsidRDefault="008427FA" w:rsidP="003E1442">
      <w:pPr>
        <w:jc w:val="both"/>
        <w:rPr>
          <w:rFonts w:ascii="Arial" w:hAnsi="Arial" w:cs="Arial"/>
        </w:rPr>
      </w:pPr>
    </w:p>
    <w:p w14:paraId="71F986A9" w14:textId="77777777" w:rsidR="008427FA" w:rsidRPr="007244F0" w:rsidRDefault="008427FA" w:rsidP="003E1442">
      <w:pPr>
        <w:jc w:val="both"/>
        <w:rPr>
          <w:rFonts w:ascii="Arial" w:hAnsi="Arial" w:cs="Arial"/>
        </w:rPr>
      </w:pPr>
    </w:p>
    <w:p w14:paraId="0CB000B3" w14:textId="77777777" w:rsidR="008427FA" w:rsidRPr="007244F0" w:rsidRDefault="008427FA" w:rsidP="003E1442">
      <w:pPr>
        <w:jc w:val="both"/>
        <w:rPr>
          <w:rFonts w:ascii="Arial" w:hAnsi="Arial" w:cs="Arial"/>
        </w:rPr>
      </w:pPr>
    </w:p>
    <w:p w14:paraId="57179DE1" w14:textId="77777777" w:rsidR="008427FA" w:rsidRPr="007244F0" w:rsidRDefault="008427FA" w:rsidP="003E1442">
      <w:pPr>
        <w:jc w:val="both"/>
        <w:rPr>
          <w:rFonts w:ascii="Arial" w:hAnsi="Arial" w:cs="Arial"/>
        </w:rPr>
      </w:pPr>
    </w:p>
    <w:p w14:paraId="4010AC30" w14:textId="77777777" w:rsidR="008427FA" w:rsidRPr="007244F0" w:rsidRDefault="008427FA" w:rsidP="003E1442">
      <w:pPr>
        <w:jc w:val="both"/>
        <w:rPr>
          <w:rFonts w:ascii="Arial" w:hAnsi="Arial" w:cs="Arial"/>
        </w:rPr>
      </w:pPr>
    </w:p>
    <w:p w14:paraId="5AAA730B" w14:textId="77777777" w:rsidR="008427FA" w:rsidRPr="007244F0" w:rsidRDefault="008427FA" w:rsidP="003E1442">
      <w:pPr>
        <w:jc w:val="both"/>
        <w:rPr>
          <w:rFonts w:ascii="Arial" w:hAnsi="Arial" w:cs="Arial"/>
        </w:rPr>
      </w:pPr>
    </w:p>
    <w:p w14:paraId="580C6362" w14:textId="77777777" w:rsidR="008427FA" w:rsidRPr="007244F0" w:rsidRDefault="008427FA" w:rsidP="003E1442">
      <w:pPr>
        <w:jc w:val="both"/>
        <w:rPr>
          <w:rFonts w:ascii="Arial" w:hAnsi="Arial" w:cs="Arial"/>
        </w:rPr>
      </w:pPr>
    </w:p>
    <w:p w14:paraId="6E4D8023" w14:textId="77777777" w:rsidR="008427FA" w:rsidRPr="007244F0" w:rsidRDefault="008427FA" w:rsidP="003E1442">
      <w:pPr>
        <w:jc w:val="both"/>
        <w:rPr>
          <w:rFonts w:ascii="Arial" w:hAnsi="Arial" w:cs="Arial"/>
        </w:rPr>
      </w:pPr>
    </w:p>
    <w:p w14:paraId="2E39C13E" w14:textId="77777777" w:rsidR="008427FA" w:rsidRPr="007244F0" w:rsidRDefault="008427FA" w:rsidP="003E1442">
      <w:pPr>
        <w:jc w:val="both"/>
        <w:rPr>
          <w:rFonts w:ascii="Arial" w:hAnsi="Arial" w:cs="Arial"/>
        </w:rPr>
      </w:pPr>
    </w:p>
    <w:p w14:paraId="78B72B2E" w14:textId="77777777" w:rsidR="008427FA" w:rsidRPr="007244F0" w:rsidRDefault="008427FA" w:rsidP="003E1442">
      <w:pPr>
        <w:jc w:val="both"/>
        <w:rPr>
          <w:rFonts w:ascii="Arial" w:hAnsi="Arial" w:cs="Arial"/>
        </w:rPr>
      </w:pPr>
    </w:p>
    <w:p w14:paraId="260084BD" w14:textId="77777777" w:rsidR="008427FA" w:rsidRPr="007244F0" w:rsidRDefault="008427FA" w:rsidP="003E1442">
      <w:pPr>
        <w:jc w:val="both"/>
        <w:rPr>
          <w:rFonts w:ascii="Arial" w:hAnsi="Arial" w:cs="Arial"/>
        </w:rPr>
      </w:pPr>
    </w:p>
    <w:p w14:paraId="7CF11867" w14:textId="77777777" w:rsidR="008427FA" w:rsidRPr="007244F0" w:rsidRDefault="008427FA" w:rsidP="003E1442">
      <w:pPr>
        <w:jc w:val="both"/>
        <w:rPr>
          <w:rFonts w:ascii="Arial" w:hAnsi="Arial" w:cs="Arial"/>
        </w:rPr>
      </w:pPr>
    </w:p>
    <w:p w14:paraId="48422E24" w14:textId="77777777" w:rsidR="008427FA" w:rsidRPr="007244F0" w:rsidRDefault="008427FA" w:rsidP="003E1442">
      <w:pPr>
        <w:jc w:val="both"/>
        <w:rPr>
          <w:rFonts w:ascii="Arial" w:hAnsi="Arial" w:cs="Arial"/>
        </w:rPr>
      </w:pPr>
    </w:p>
    <w:p w14:paraId="2DF0E555" w14:textId="77777777" w:rsidR="008427FA" w:rsidRPr="007244F0" w:rsidRDefault="008427FA" w:rsidP="003E1442">
      <w:pPr>
        <w:jc w:val="both"/>
        <w:rPr>
          <w:rFonts w:ascii="Arial" w:hAnsi="Arial" w:cs="Arial"/>
        </w:rPr>
      </w:pPr>
    </w:p>
    <w:p w14:paraId="0D9AC7F2" w14:textId="77777777" w:rsidR="008427FA" w:rsidRPr="007244F0" w:rsidRDefault="008427FA" w:rsidP="003E1442">
      <w:pPr>
        <w:jc w:val="both"/>
        <w:rPr>
          <w:rFonts w:ascii="Arial" w:hAnsi="Arial" w:cs="Arial"/>
        </w:rPr>
      </w:pPr>
    </w:p>
    <w:p w14:paraId="05F54F22" w14:textId="77777777" w:rsidR="008427FA" w:rsidRPr="007244F0" w:rsidRDefault="008427FA" w:rsidP="003E1442">
      <w:pPr>
        <w:jc w:val="both"/>
        <w:rPr>
          <w:rFonts w:ascii="Arial" w:hAnsi="Arial" w:cs="Arial"/>
        </w:rPr>
      </w:pPr>
    </w:p>
    <w:p w14:paraId="2EE97204" w14:textId="77777777" w:rsidR="008427FA" w:rsidRPr="007244F0" w:rsidRDefault="008427FA" w:rsidP="003E1442">
      <w:pPr>
        <w:jc w:val="both"/>
        <w:rPr>
          <w:rFonts w:ascii="Arial" w:hAnsi="Arial" w:cs="Arial"/>
        </w:rPr>
      </w:pPr>
    </w:p>
    <w:p w14:paraId="4CC7D2CD" w14:textId="77777777" w:rsidR="008427FA" w:rsidRPr="007244F0" w:rsidRDefault="008427FA" w:rsidP="003E1442">
      <w:pPr>
        <w:jc w:val="both"/>
        <w:rPr>
          <w:rFonts w:ascii="Arial" w:hAnsi="Arial" w:cs="Arial"/>
        </w:rPr>
      </w:pPr>
    </w:p>
    <w:p w14:paraId="28EEEA06" w14:textId="77777777" w:rsidR="008427FA" w:rsidRPr="007244F0" w:rsidRDefault="008427FA" w:rsidP="003E1442">
      <w:pPr>
        <w:jc w:val="both"/>
        <w:rPr>
          <w:rFonts w:ascii="Arial" w:hAnsi="Arial" w:cs="Arial"/>
        </w:rPr>
      </w:pPr>
    </w:p>
    <w:p w14:paraId="484FA34F" w14:textId="77777777" w:rsidR="00830A4D" w:rsidRPr="007244F0" w:rsidRDefault="00830A4D" w:rsidP="003E1442">
      <w:pPr>
        <w:jc w:val="both"/>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08C5F1A"/>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3E1442"/>
    <w:rsid w:val="004B6ED3"/>
    <w:rsid w:val="004E09DD"/>
    <w:rsid w:val="006831E8"/>
    <w:rsid w:val="00684F73"/>
    <w:rsid w:val="007244F0"/>
    <w:rsid w:val="00830A4D"/>
    <w:rsid w:val="008427FA"/>
    <w:rsid w:val="008953CF"/>
    <w:rsid w:val="008D689C"/>
    <w:rsid w:val="00927C90"/>
    <w:rsid w:val="009A582D"/>
    <w:rsid w:val="009D79DB"/>
    <w:rsid w:val="00A85759"/>
    <w:rsid w:val="00AC5021"/>
    <w:rsid w:val="00BC73E4"/>
    <w:rsid w:val="00BE63A3"/>
    <w:rsid w:val="00C40C31"/>
    <w:rsid w:val="00CB5B1C"/>
    <w:rsid w:val="00D211C6"/>
    <w:rsid w:val="00D42E36"/>
    <w:rsid w:val="00D56368"/>
    <w:rsid w:val="00DD0D64"/>
    <w:rsid w:val="00F732A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B5B1C"/>
    <w:rPr>
      <w:rFonts w:ascii="Calibri" w:eastAsia="Times New Roman" w:hAnsi="Calibri" w:cs="Calibri"/>
      <w:lang w:eastAsia="en-NZ"/>
    </w:rPr>
  </w:style>
  <w:style w:type="paragraph" w:styleId="ListParagraph">
    <w:name w:val="List Paragraph"/>
    <w:basedOn w:val="Normal"/>
    <w:uiPriority w:val="34"/>
    <w:qFormat/>
    <w:rsid w:val="00CB5B1C"/>
    <w:pPr>
      <w:ind w:left="720"/>
      <w:contextualSpacing/>
    </w:pPr>
  </w:style>
  <w:style w:type="paragraph" w:styleId="Revision">
    <w:name w:val="Revision"/>
    <w:hidden/>
    <w:uiPriority w:val="99"/>
    <w:semiHidden/>
    <w:rsid w:val="00F73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67CACC6A-3005-43E3-A4A9-813B8A2A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312</Words>
  <Characters>2247</Characters>
  <Application>Microsoft Office Word</Application>
  <DocSecurity>0</DocSecurity>
  <Lines>66</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Alexis Diaz Vegas</cp:lastModifiedBy>
  <cp:revision>3</cp:revision>
  <dcterms:created xsi:type="dcterms:W3CDTF">2026-02-23T02:00:00Z</dcterms:created>
  <dcterms:modified xsi:type="dcterms:W3CDTF">2026-02-23T02:08:00Z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