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1564A4" w:rsidRPr="0050053A" w14:paraId="5C38377B" w14:textId="77777777" w:rsidTr="00B263D8">
        <w:trPr>
          <w:trHeight w:val="841"/>
          <w:jc w:val="center"/>
        </w:trPr>
        <w:tc>
          <w:tcPr>
            <w:tcW w:w="8831" w:type="dxa"/>
            <w:shd w:val="clear" w:color="auto" w:fill="auto"/>
          </w:tcPr>
          <w:p w14:paraId="5C44F357" w14:textId="1CCD3730" w:rsidR="001564A4" w:rsidRPr="007A7C1E" w:rsidRDefault="00AB7AD3" w:rsidP="0025421E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val="en-IN"/>
              </w:rPr>
            </w:pPr>
            <w:r w:rsidRPr="00277BB8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IN"/>
              </w:rPr>
              <w:t>Clinical and demographic parameters of Aboriginal patients with bronchiectasis vary between remote communities in the Northern Territory</w:t>
            </w:r>
          </w:p>
        </w:tc>
      </w:tr>
      <w:tr w:rsidR="001564A4" w:rsidRPr="0050053A" w14:paraId="0E2E035C" w14:textId="77777777" w:rsidTr="00695EFA">
        <w:trPr>
          <w:trHeight w:val="510"/>
          <w:jc w:val="center"/>
        </w:trPr>
        <w:tc>
          <w:tcPr>
            <w:tcW w:w="8831" w:type="dxa"/>
            <w:shd w:val="clear" w:color="auto" w:fill="auto"/>
          </w:tcPr>
          <w:p w14:paraId="73B55295" w14:textId="4BBD3B76" w:rsidR="001564A4" w:rsidRPr="007A7C1E" w:rsidRDefault="00DD21E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proofErr w:type="spellStart"/>
            <w:r w:rsidRPr="00DD21EE">
              <w:rPr>
                <w:rFonts w:ascii="Arial" w:hAnsi="Arial" w:cs="Arial"/>
                <w:sz w:val="22"/>
                <w:szCs w:val="22"/>
                <w:lang w:val="en-US" w:eastAsia="en-GB"/>
              </w:rPr>
              <w:t>Shiidheshwar</w:t>
            </w:r>
            <w:proofErr w:type="spellEnd"/>
            <w:r w:rsidRPr="00DD21E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 Ravichandran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DD21E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958D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t xml:space="preserve"> </w:t>
            </w:r>
            <w:r w:rsidRPr="00DD21E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Timothy Howarth </w:t>
            </w:r>
            <w:r w:rsidRPr="00AB7AD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3,4,5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t xml:space="preserve"> </w:t>
            </w:r>
            <w:r w:rsidRPr="00DD21EE">
              <w:rPr>
                <w:rFonts w:ascii="Arial" w:hAnsi="Arial" w:cs="Arial"/>
                <w:sz w:val="22"/>
                <w:szCs w:val="22"/>
                <w:lang w:val="en-US" w:eastAsia="en-GB"/>
              </w:rPr>
              <w:t>Claire Gibbs</w:t>
            </w:r>
            <w:r w:rsidR="00AB7AD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AB7AD3" w:rsidRPr="00AB7AD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2,6</w:t>
            </w:r>
            <w:r w:rsidR="00C958D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Subash</w:t>
            </w:r>
            <w:r w:rsidR="007A7C1E" w:rsidRPr="007A7C1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Shanthakumar</w:t>
            </w:r>
            <w:r w:rsidR="00EC562E" w:rsidRPr="007A7C1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2E4B59" w:rsidRPr="007A7C1E">
              <w:rPr>
                <w:rFonts w:ascii="Arial" w:hAnsi="Arial" w:cs="Arial"/>
                <w:sz w:val="22"/>
                <w:szCs w:val="22"/>
                <w:lang w:val="en-US" w:eastAsia="en-GB"/>
              </w:rPr>
              <w:t>Her</w:t>
            </w:r>
            <w:r w:rsidR="00A60511" w:rsidRPr="007A7C1E">
              <w:rPr>
                <w:rFonts w:ascii="Arial" w:hAnsi="Arial" w:cs="Arial"/>
                <w:sz w:val="22"/>
                <w:szCs w:val="22"/>
                <w:lang w:val="en-US" w:eastAsia="en-GB"/>
              </w:rPr>
              <w:t>a</w:t>
            </w:r>
            <w:r w:rsidR="002E4B59" w:rsidRPr="007A7C1E">
              <w:rPr>
                <w:rFonts w:ascii="Arial" w:hAnsi="Arial" w:cs="Arial"/>
                <w:sz w:val="22"/>
                <w:szCs w:val="22"/>
                <w:lang w:val="en-US" w:eastAsia="en-GB"/>
              </w:rPr>
              <w:t>ganahally</w:t>
            </w:r>
            <w:proofErr w:type="spellEnd"/>
            <w:r w:rsidR="00EC562E" w:rsidRPr="007A7C1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AB7AD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2,5,6</w:t>
            </w:r>
          </w:p>
        </w:tc>
      </w:tr>
      <w:tr w:rsidR="001564A4" w:rsidRPr="0050053A" w14:paraId="385A19D9" w14:textId="77777777" w:rsidTr="00695EFA">
        <w:trPr>
          <w:trHeight w:val="141"/>
          <w:jc w:val="center"/>
        </w:trPr>
        <w:tc>
          <w:tcPr>
            <w:tcW w:w="8831" w:type="dxa"/>
            <w:shd w:val="clear" w:color="auto" w:fill="auto"/>
          </w:tcPr>
          <w:p w14:paraId="10261C78" w14:textId="21D848AC" w:rsidR="00DD21EE" w:rsidRDefault="00D12065" w:rsidP="00571192">
            <w:pPr>
              <w:spacing w:after="160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</w:pPr>
            <w:r w:rsidRPr="007A7C1E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1</w:t>
            </w:r>
            <w:r w:rsidR="00AE46A9" w:rsidRPr="007A7C1E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 </w:t>
            </w:r>
            <w:r w:rsidR="00DD21EE" w:rsidRPr="00DD21EE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>Department of Medicine, Royal Darwin Hospital, Darwin, Northern Territory, Australia.</w:t>
            </w:r>
          </w:p>
          <w:p w14:paraId="4D4337BA" w14:textId="12BC5072" w:rsidR="00C958D7" w:rsidRDefault="00DD21EE" w:rsidP="00571192">
            <w:pPr>
              <w:spacing w:after="160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</w:pPr>
            <w:r w:rsidRPr="00DD21EE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2</w:t>
            </w:r>
            <w:r w:rsidR="002E4B59" w:rsidRPr="007A7C1E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Department of Respiratory and Sleep Medicine, Royal Darwin Hospital, Darwin, Northern Territory, Australia </w:t>
            </w:r>
          </w:p>
          <w:p w14:paraId="396CC48C" w14:textId="5E8C9D36" w:rsidR="00AB7AD3" w:rsidRPr="00AB7AD3" w:rsidRDefault="00AB7AD3" w:rsidP="00AB7AD3">
            <w:pPr>
              <w:spacing w:after="160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</w:pPr>
            <w:r w:rsidRPr="00AB7AD3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3</w:t>
            </w:r>
            <w:r w:rsidRPr="00AB7AD3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 Department of Technical Physics, University of Eastern Finland, Kuopio, Northern Savonia, Finland.</w:t>
            </w:r>
          </w:p>
          <w:p w14:paraId="2C955218" w14:textId="3EB5F652" w:rsidR="00AB7AD3" w:rsidRDefault="00AB7AD3" w:rsidP="00AB7AD3">
            <w:pPr>
              <w:spacing w:after="160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</w:pPr>
            <w:r w:rsidRPr="00AB7AD3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4</w:t>
            </w:r>
            <w:r w:rsidRPr="00AB7AD3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 College of Health and Human Sciences, Charles Darwin University, Darwin, Northern Territory, Australia.</w:t>
            </w:r>
          </w:p>
          <w:p w14:paraId="0EA36704" w14:textId="4B007A27" w:rsidR="00AB7AD3" w:rsidRPr="00C958D7" w:rsidRDefault="00AB7AD3" w:rsidP="00AB7AD3">
            <w:pPr>
              <w:spacing w:after="160"/>
              <w:jc w:val="both"/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</w:pPr>
            <w:r w:rsidRPr="00AB7AD3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5</w:t>
            </w:r>
            <w:r w:rsidRPr="00AB7AD3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 Darwin Respiratory and Sleep Health, Darwin Private Hospital, Darwin, Northern Territory, Australia.</w:t>
            </w:r>
          </w:p>
          <w:p w14:paraId="45ED36BF" w14:textId="71DCCE3D" w:rsidR="00D12065" w:rsidRPr="00AB7AD3" w:rsidRDefault="00AB7AD3" w:rsidP="00571192">
            <w:pPr>
              <w:spacing w:after="160"/>
              <w:jc w:val="both"/>
              <w:rPr>
                <w:rFonts w:ascii="Arial" w:eastAsia="SimSun" w:hAnsi="Arial" w:cs="Arial"/>
                <w:bCs/>
                <w:i/>
                <w:sz w:val="22"/>
                <w:szCs w:val="22"/>
                <w:lang w:val="en-IN"/>
              </w:rPr>
            </w:pPr>
            <w:r>
              <w:rPr>
                <w:rFonts w:ascii="Arial" w:eastAsia="SimSun" w:hAnsi="Arial" w:cs="Arial"/>
                <w:bCs/>
                <w:i/>
                <w:iCs/>
                <w:sz w:val="22"/>
                <w:szCs w:val="22"/>
                <w:vertAlign w:val="superscript"/>
                <w:lang w:val="en-IN"/>
              </w:rPr>
              <w:t>6</w:t>
            </w:r>
            <w:r w:rsidR="00AE46A9" w:rsidRPr="007A7C1E">
              <w:rPr>
                <w:rFonts w:ascii="Arial" w:eastAsia="SimSun" w:hAnsi="Arial" w:cs="Arial"/>
                <w:bCs/>
                <w:i/>
                <w:iCs/>
                <w:sz w:val="22"/>
                <w:szCs w:val="22"/>
                <w:lang w:val="en-IN"/>
              </w:rPr>
              <w:t xml:space="preserve"> </w:t>
            </w:r>
            <w:r w:rsidR="002E4B59" w:rsidRPr="007A7C1E">
              <w:rPr>
                <w:rFonts w:ascii="Arial" w:eastAsia="SimSun" w:hAnsi="Arial" w:cs="Arial"/>
                <w:bCs/>
                <w:i/>
                <w:iCs/>
                <w:sz w:val="22"/>
                <w:szCs w:val="22"/>
                <w:lang w:val="en-IN"/>
              </w:rPr>
              <w:t>Flinders University - College of Medicine and Public Health, Adelaide, South Australia, Australia</w:t>
            </w:r>
            <w:r w:rsidR="002E4B59" w:rsidRPr="007A7C1E">
              <w:rPr>
                <w:rFonts w:ascii="Arial" w:eastAsia="SimSun" w:hAnsi="Arial" w:cs="Arial"/>
                <w:bCs/>
                <w:i/>
                <w:sz w:val="22"/>
                <w:szCs w:val="22"/>
                <w:lang w:val="en-IN"/>
              </w:rPr>
              <w:t xml:space="preserve"> </w:t>
            </w:r>
          </w:p>
        </w:tc>
      </w:tr>
      <w:tr w:rsidR="001564A4" w:rsidRPr="0050053A" w14:paraId="6DAF615A" w14:textId="77777777" w:rsidTr="00B263D8">
        <w:trPr>
          <w:trHeight w:hRule="exact" w:val="8109"/>
          <w:jc w:val="center"/>
        </w:trPr>
        <w:tc>
          <w:tcPr>
            <w:tcW w:w="8831" w:type="dxa"/>
            <w:shd w:val="clear" w:color="auto" w:fill="auto"/>
          </w:tcPr>
          <w:p w14:paraId="3BDE9958" w14:textId="6A1F23C7" w:rsidR="00F32B01" w:rsidRPr="007A7C1E" w:rsidRDefault="001564A4" w:rsidP="00CD72EA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en-IN"/>
              </w:rPr>
            </w:pPr>
            <w:r w:rsidRPr="007A7C1E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9177AB">
              <w:rPr>
                <w:rStyle w:val="A4"/>
                <w:rFonts w:ascii="Arial" w:hAnsi="Arial" w:cs="Arial"/>
              </w:rPr>
              <w:t xml:space="preserve">A previous study from our centre noted significant variance in bronchiectasis prevalence between remote communities in the Top End Health Service region of the Northern Territory. </w:t>
            </w:r>
            <w:r w:rsidR="00CD72EA">
              <w:rPr>
                <w:rStyle w:val="A4"/>
                <w:rFonts w:ascii="Arial" w:hAnsi="Arial" w:cs="Arial"/>
              </w:rPr>
              <w:t>This study aim</w:t>
            </w:r>
            <w:r w:rsidR="00F2763C">
              <w:rPr>
                <w:rStyle w:val="A4"/>
                <w:rFonts w:ascii="Arial" w:hAnsi="Arial" w:cs="Arial"/>
              </w:rPr>
              <w:t>s</w:t>
            </w:r>
            <w:r w:rsidR="00CD72EA">
              <w:rPr>
                <w:rStyle w:val="A4"/>
                <w:rFonts w:ascii="Arial" w:hAnsi="Arial" w:cs="Arial"/>
              </w:rPr>
              <w:t xml:space="preserve"> to</w:t>
            </w:r>
            <w:r w:rsidR="009177AB">
              <w:rPr>
                <w:rStyle w:val="A4"/>
                <w:rFonts w:ascii="Arial" w:hAnsi="Arial" w:cs="Arial"/>
              </w:rPr>
              <w:t xml:space="preserve"> defi</w:t>
            </w:r>
            <w:r w:rsidR="00AB7AD3">
              <w:rPr>
                <w:rStyle w:val="A4"/>
                <w:rFonts w:ascii="Arial" w:hAnsi="Arial" w:cs="Arial"/>
              </w:rPr>
              <w:t>ne the</w:t>
            </w:r>
            <w:r w:rsidR="009177AB">
              <w:rPr>
                <w:rStyle w:val="A4"/>
                <w:rFonts w:ascii="Arial" w:hAnsi="Arial" w:cs="Arial"/>
              </w:rPr>
              <w:t xml:space="preserve"> </w:t>
            </w:r>
            <w:r w:rsidR="00AB7AD3">
              <w:rPr>
                <w:rStyle w:val="A4"/>
                <w:rFonts w:ascii="Arial" w:hAnsi="Arial" w:cs="Arial"/>
              </w:rPr>
              <w:t xml:space="preserve">community </w:t>
            </w:r>
            <w:r w:rsidR="009177AB">
              <w:rPr>
                <w:rStyle w:val="A4"/>
                <w:rFonts w:ascii="Arial" w:hAnsi="Arial" w:cs="Arial"/>
              </w:rPr>
              <w:t xml:space="preserve">demographic and clinical factors associated with </w:t>
            </w:r>
            <w:r w:rsidR="00F2763C">
              <w:rPr>
                <w:rStyle w:val="A4"/>
                <w:rFonts w:ascii="Arial" w:hAnsi="Arial" w:cs="Arial"/>
              </w:rPr>
              <w:t>the</w:t>
            </w:r>
            <w:r w:rsidR="009177AB">
              <w:rPr>
                <w:rStyle w:val="A4"/>
                <w:rFonts w:ascii="Arial" w:hAnsi="Arial" w:cs="Arial"/>
              </w:rPr>
              <w:t xml:space="preserve"> </w:t>
            </w:r>
            <w:r w:rsidR="00A67CB0">
              <w:rPr>
                <w:rStyle w:val="A4"/>
                <w:rFonts w:ascii="Arial" w:hAnsi="Arial" w:cs="Arial"/>
              </w:rPr>
              <w:t>bronchiectasis disease</w:t>
            </w:r>
            <w:r w:rsidR="009177AB">
              <w:rPr>
                <w:rStyle w:val="A4"/>
                <w:rFonts w:ascii="Arial" w:hAnsi="Arial" w:cs="Arial"/>
              </w:rPr>
              <w:t xml:space="preserve"> burden</w:t>
            </w:r>
            <w:r w:rsidR="00A67CB0">
              <w:rPr>
                <w:rStyle w:val="A4"/>
                <w:rFonts w:ascii="Arial" w:hAnsi="Arial" w:cs="Arial"/>
              </w:rPr>
              <w:t xml:space="preserve"> among </w:t>
            </w:r>
            <w:r w:rsidR="00F2763C">
              <w:rPr>
                <w:rStyle w:val="A4"/>
                <w:rFonts w:ascii="Arial" w:hAnsi="Arial" w:cs="Arial"/>
              </w:rPr>
              <w:t xml:space="preserve">adult Aboriginal patients </w:t>
            </w:r>
            <w:r w:rsidR="00A67CB0">
              <w:rPr>
                <w:rStyle w:val="A4"/>
                <w:rFonts w:ascii="Arial" w:hAnsi="Arial" w:cs="Arial"/>
              </w:rPr>
              <w:t>residing in the</w:t>
            </w:r>
            <w:r w:rsidR="009177AB">
              <w:rPr>
                <w:rStyle w:val="A4"/>
                <w:rFonts w:ascii="Arial" w:hAnsi="Arial" w:cs="Arial"/>
              </w:rPr>
              <w:t xml:space="preserve">se </w:t>
            </w:r>
            <w:r w:rsidR="00A67CB0">
              <w:rPr>
                <w:rStyle w:val="A4"/>
                <w:rFonts w:ascii="Arial" w:hAnsi="Arial" w:cs="Arial"/>
              </w:rPr>
              <w:t>remote communities</w:t>
            </w:r>
            <w:r w:rsidR="009177AB">
              <w:rPr>
                <w:rStyle w:val="A4"/>
                <w:rFonts w:ascii="Arial" w:hAnsi="Arial" w:cs="Arial"/>
              </w:rPr>
              <w:t>.</w:t>
            </w:r>
            <w:r w:rsidR="00CD72EA">
              <w:rPr>
                <w:rStyle w:val="A4"/>
                <w:rFonts w:ascii="Arial" w:hAnsi="Arial" w:cs="Arial"/>
              </w:rPr>
              <w:t xml:space="preserve"> </w:t>
            </w:r>
          </w:p>
          <w:p w14:paraId="1B39336E" w14:textId="552675D9" w:rsidR="001564A4" w:rsidRPr="009574EF" w:rsidRDefault="001564A4" w:rsidP="00CD72EA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7A7C1E">
              <w:rPr>
                <w:rStyle w:val="A4"/>
                <w:b/>
                <w:bCs/>
              </w:rPr>
              <w:t xml:space="preserve">Methods: </w:t>
            </w:r>
            <w:r w:rsidR="00D41746" w:rsidRPr="00D41746">
              <w:rPr>
                <w:rStyle w:val="A4"/>
              </w:rPr>
              <w:t>Demographics</w:t>
            </w:r>
            <w:r w:rsidR="00E260BF">
              <w:rPr>
                <w:rStyle w:val="A4"/>
              </w:rPr>
              <w:t xml:space="preserve"> and clinical information</w:t>
            </w:r>
            <w:r w:rsidR="00D41746" w:rsidRPr="00D41746">
              <w:rPr>
                <w:rStyle w:val="A4"/>
              </w:rPr>
              <w:t xml:space="preserve"> of all</w:t>
            </w:r>
            <w:r w:rsidR="00A67CB0">
              <w:rPr>
                <w:rStyle w:val="A4"/>
                <w:b/>
                <w:bCs/>
              </w:rPr>
              <w:t xml:space="preserve"> </w:t>
            </w:r>
            <w:r w:rsidR="00A67CB0" w:rsidRPr="00A67CB0">
              <w:rPr>
                <w:rStyle w:val="A4"/>
              </w:rPr>
              <w:t>Aboriginal Australians aged &gt;18 years</w:t>
            </w:r>
            <w:r w:rsidR="003D0795">
              <w:rPr>
                <w:rStyle w:val="A4"/>
              </w:rPr>
              <w:t xml:space="preserve"> </w:t>
            </w:r>
            <w:r w:rsidR="00E260BF">
              <w:rPr>
                <w:rStyle w:val="A4"/>
              </w:rPr>
              <w:t xml:space="preserve">with </w:t>
            </w:r>
            <w:r w:rsidR="00E260BF" w:rsidRPr="00A67CB0">
              <w:rPr>
                <w:rStyle w:val="A4"/>
              </w:rPr>
              <w:t>chest computed tomography (CT) confirmed bronchiectasis between 2011 and 2020</w:t>
            </w:r>
            <w:r w:rsidR="00E260BF">
              <w:rPr>
                <w:rStyle w:val="A4"/>
              </w:rPr>
              <w:t xml:space="preserve">, </w:t>
            </w:r>
            <w:r w:rsidR="003D0795">
              <w:rPr>
                <w:rStyle w:val="A4"/>
              </w:rPr>
              <w:t xml:space="preserve">residing in remote Aboriginal communities </w:t>
            </w:r>
            <w:r w:rsidR="00A67CB0" w:rsidRPr="00A67CB0">
              <w:rPr>
                <w:rStyle w:val="A4"/>
              </w:rPr>
              <w:t>with</w:t>
            </w:r>
            <w:r w:rsidR="00D60B60">
              <w:rPr>
                <w:rStyle w:val="A4"/>
              </w:rPr>
              <w:t xml:space="preserve"> &gt;10 active cases </w:t>
            </w:r>
            <w:r w:rsidR="00A67CB0" w:rsidRPr="00A67CB0">
              <w:rPr>
                <w:rStyle w:val="A4"/>
              </w:rPr>
              <w:t xml:space="preserve">were </w:t>
            </w:r>
            <w:r w:rsidR="00D41746">
              <w:rPr>
                <w:rStyle w:val="A4"/>
              </w:rPr>
              <w:t xml:space="preserve">assessed. </w:t>
            </w:r>
          </w:p>
          <w:p w14:paraId="192FD27A" w14:textId="5A4CEA94" w:rsidR="00F32B01" w:rsidRPr="00F06EB3" w:rsidRDefault="001564A4" w:rsidP="00CD72EA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9574EF">
              <w:rPr>
                <w:rStyle w:val="A4"/>
                <w:b/>
                <w:bCs/>
                <w:color w:val="auto"/>
              </w:rPr>
              <w:t>Results:</w:t>
            </w:r>
            <w:r w:rsidRPr="003516F6">
              <w:rPr>
                <w:rStyle w:val="A4"/>
                <w:color w:val="auto"/>
              </w:rPr>
              <w:t xml:space="preserve"> </w:t>
            </w:r>
            <w:r w:rsidR="00D60B60">
              <w:rPr>
                <w:rStyle w:val="A4"/>
                <w:color w:val="auto"/>
              </w:rPr>
              <w:t>Thirteen remote towns were identified, with patient numbers ranging from 12 to 82 (median 17</w:t>
            </w:r>
            <w:r w:rsidR="009177AB">
              <w:rPr>
                <w:rStyle w:val="A4"/>
                <w:color w:val="auto"/>
              </w:rPr>
              <w:t>, total 318 patients</w:t>
            </w:r>
            <w:r w:rsidR="00D60B60">
              <w:rPr>
                <w:rStyle w:val="A4"/>
                <w:color w:val="auto"/>
              </w:rPr>
              <w:t>)</w:t>
            </w:r>
            <w:r w:rsidR="003516F6">
              <w:rPr>
                <w:rStyle w:val="A4"/>
                <w:color w:val="auto"/>
              </w:rPr>
              <w:t>.</w:t>
            </w:r>
            <w:r w:rsidR="00E260BF">
              <w:rPr>
                <w:rStyle w:val="A4"/>
                <w:color w:val="auto"/>
              </w:rPr>
              <w:t xml:space="preserve"> Age varied</w:t>
            </w:r>
            <w:r w:rsidR="00D778B2">
              <w:rPr>
                <w:rStyle w:val="A4"/>
                <w:color w:val="auto"/>
              </w:rPr>
              <w:t xml:space="preserve"> significantly between communities</w:t>
            </w:r>
            <w:r w:rsidR="00E260BF">
              <w:rPr>
                <w:rStyle w:val="A4"/>
                <w:color w:val="auto"/>
              </w:rPr>
              <w:t xml:space="preserve"> from a median 41.4</w:t>
            </w:r>
            <w:r w:rsidR="009177AB">
              <w:rPr>
                <w:rStyle w:val="A4"/>
                <w:color w:val="auto"/>
              </w:rPr>
              <w:t>-</w:t>
            </w:r>
            <w:r w:rsidR="00E260BF">
              <w:rPr>
                <w:rStyle w:val="A4"/>
                <w:color w:val="auto"/>
              </w:rPr>
              <w:t>53.2 years</w:t>
            </w:r>
            <w:r w:rsidR="00F06EB3">
              <w:rPr>
                <w:rStyle w:val="A4"/>
                <w:color w:val="auto"/>
              </w:rPr>
              <w:t xml:space="preserve"> (p=0.0</w:t>
            </w:r>
            <w:r w:rsidR="009177AB">
              <w:rPr>
                <w:rStyle w:val="A4"/>
                <w:color w:val="auto"/>
              </w:rPr>
              <w:t>5</w:t>
            </w:r>
            <w:r w:rsidR="00F06EB3">
              <w:rPr>
                <w:rStyle w:val="A4"/>
                <w:color w:val="auto"/>
              </w:rPr>
              <w:t>)</w:t>
            </w:r>
            <w:r w:rsidR="00E260BF">
              <w:rPr>
                <w:rStyle w:val="A4"/>
                <w:color w:val="auto"/>
              </w:rPr>
              <w:t xml:space="preserve">, </w:t>
            </w:r>
            <w:r w:rsidR="00D778B2">
              <w:rPr>
                <w:rStyle w:val="A4"/>
                <w:color w:val="auto"/>
              </w:rPr>
              <w:t>as did</w:t>
            </w:r>
            <w:r w:rsidR="00E260BF">
              <w:rPr>
                <w:rStyle w:val="A4"/>
                <w:color w:val="auto"/>
              </w:rPr>
              <w:t xml:space="preserve"> female percentage from 25</w:t>
            </w:r>
            <w:r w:rsidR="00F06EB3">
              <w:rPr>
                <w:rStyle w:val="A4"/>
                <w:color w:val="auto"/>
              </w:rPr>
              <w:t>-</w:t>
            </w:r>
            <w:r w:rsidR="00E260BF">
              <w:rPr>
                <w:rStyle w:val="A4"/>
                <w:color w:val="auto"/>
              </w:rPr>
              <w:t>75%</w:t>
            </w:r>
            <w:r w:rsidR="00F06EB3">
              <w:rPr>
                <w:rStyle w:val="A4"/>
                <w:color w:val="auto"/>
              </w:rPr>
              <w:t xml:space="preserve"> (p=0.0</w:t>
            </w:r>
            <w:r w:rsidR="009177AB">
              <w:rPr>
                <w:rStyle w:val="A4"/>
                <w:color w:val="auto"/>
              </w:rPr>
              <w:t>3</w:t>
            </w:r>
            <w:r w:rsidR="00F06EB3">
              <w:rPr>
                <w:rStyle w:val="A4"/>
                <w:color w:val="auto"/>
              </w:rPr>
              <w:t>)</w:t>
            </w:r>
            <w:r w:rsidR="00E260BF">
              <w:rPr>
                <w:rStyle w:val="A4"/>
                <w:color w:val="auto"/>
              </w:rPr>
              <w:t xml:space="preserve">. </w:t>
            </w:r>
            <w:r w:rsidR="00F06EB3">
              <w:rPr>
                <w:rStyle w:val="A4"/>
                <w:color w:val="auto"/>
              </w:rPr>
              <w:t xml:space="preserve">In nine communities </w:t>
            </w:r>
            <w:r w:rsidR="00F06EB3">
              <w:rPr>
                <w:rStyle w:val="A4"/>
                <w:i/>
                <w:iCs/>
                <w:color w:val="auto"/>
              </w:rPr>
              <w:t>H. influenzae</w:t>
            </w:r>
            <w:r w:rsidR="00F06EB3">
              <w:rPr>
                <w:rStyle w:val="A4"/>
                <w:color w:val="auto"/>
              </w:rPr>
              <w:t xml:space="preserve"> was the most commonly cultured microorganism (46.2-86.7%), while in four communities, fungal species were the most commonly cultured (58.3-64.3%). Comorbid COPD was highly prevalent, and ranged from 58.3-100%, with hypertension being the next most common comorbidity, ranging from 25-85%. The proportion of patients with a hospitalisation in the last </w:t>
            </w:r>
            <w:r w:rsidR="009177AB">
              <w:rPr>
                <w:rStyle w:val="A4"/>
                <w:color w:val="auto"/>
              </w:rPr>
              <w:t>two</w:t>
            </w:r>
            <w:r w:rsidR="00F06EB3">
              <w:rPr>
                <w:rStyle w:val="A4"/>
                <w:color w:val="auto"/>
              </w:rPr>
              <w:t xml:space="preserve"> years ranged from 46.7-81.8%, and the proportion deceased from 14.3-</w:t>
            </w:r>
            <w:r w:rsidR="009177AB">
              <w:rPr>
                <w:rStyle w:val="A4"/>
                <w:color w:val="auto"/>
              </w:rPr>
              <w:t>58.3%. Significant variation in the rate of ICS prescription was noted between communities, ranging from 16.7-80% (p=0.04).</w:t>
            </w:r>
            <w:r w:rsidR="00A94D8C">
              <w:rPr>
                <w:rStyle w:val="A4"/>
                <w:color w:val="auto"/>
              </w:rPr>
              <w:t xml:space="preserve"> In multivariate regression, adjusting for age, sex, comorbid COPD and hospitalisations in the last two years, </w:t>
            </w:r>
            <w:r w:rsidR="00AB7AD3">
              <w:rPr>
                <w:rStyle w:val="A4"/>
                <w:color w:val="auto"/>
              </w:rPr>
              <w:t>certain</w:t>
            </w:r>
            <w:r w:rsidR="00A94D8C">
              <w:rPr>
                <w:rStyle w:val="A4"/>
                <w:color w:val="auto"/>
              </w:rPr>
              <w:t xml:space="preserve"> remote </w:t>
            </w:r>
            <w:r w:rsidR="00AB7AD3">
              <w:rPr>
                <w:rStyle w:val="A4"/>
                <w:color w:val="auto"/>
              </w:rPr>
              <w:t>community</w:t>
            </w:r>
            <w:r w:rsidR="00A94D8C">
              <w:rPr>
                <w:rStyle w:val="A4"/>
                <w:color w:val="auto"/>
              </w:rPr>
              <w:t xml:space="preserve"> a patient resided in remained a significant factor associated with mortality.</w:t>
            </w:r>
          </w:p>
          <w:p w14:paraId="652F7BE1" w14:textId="2471DBB9" w:rsidR="001564A4" w:rsidRPr="003C3CCB" w:rsidRDefault="001564A4" w:rsidP="00CD72EA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9574EF">
              <w:rPr>
                <w:rStyle w:val="A4"/>
                <w:b/>
                <w:bCs/>
                <w:color w:val="auto"/>
              </w:rPr>
              <w:t xml:space="preserve">Conclusion: </w:t>
            </w:r>
            <w:r w:rsidR="003C3CCB" w:rsidRPr="003C3CCB">
              <w:rPr>
                <w:rStyle w:val="A4"/>
                <w:color w:val="auto"/>
              </w:rPr>
              <w:t xml:space="preserve">There is </w:t>
            </w:r>
            <w:r w:rsidR="009177AB">
              <w:rPr>
                <w:rStyle w:val="A4"/>
                <w:color w:val="auto"/>
              </w:rPr>
              <w:t>notable</w:t>
            </w:r>
            <w:r w:rsidR="003C3CCB" w:rsidRPr="003C3CCB">
              <w:rPr>
                <w:rStyle w:val="A4"/>
                <w:color w:val="auto"/>
              </w:rPr>
              <w:t xml:space="preserve"> disparity in </w:t>
            </w:r>
            <w:r w:rsidR="00A94D8C">
              <w:rPr>
                <w:rStyle w:val="A4"/>
                <w:color w:val="auto"/>
              </w:rPr>
              <w:t xml:space="preserve">clinical and demographic parameters among patients with </w:t>
            </w:r>
            <w:r w:rsidR="0066431B">
              <w:rPr>
                <w:rStyle w:val="A4"/>
                <w:color w:val="auto"/>
              </w:rPr>
              <w:t xml:space="preserve">bronchiectasis </w:t>
            </w:r>
            <w:r w:rsidR="009177AB">
              <w:rPr>
                <w:rStyle w:val="A4"/>
                <w:color w:val="auto"/>
              </w:rPr>
              <w:t>between</w:t>
            </w:r>
            <w:r w:rsidR="00B513A6">
              <w:rPr>
                <w:rStyle w:val="A4"/>
                <w:color w:val="auto"/>
              </w:rPr>
              <w:t xml:space="preserve"> remote communities</w:t>
            </w:r>
            <w:r w:rsidR="003C3CCB" w:rsidRPr="003C3CCB">
              <w:rPr>
                <w:rStyle w:val="A4"/>
                <w:color w:val="auto"/>
              </w:rPr>
              <w:t xml:space="preserve">. Further studies are needed to investigate factors associated with higher rates of bronchiectasis </w:t>
            </w:r>
            <w:r w:rsidR="003C3CCB">
              <w:rPr>
                <w:rStyle w:val="A4"/>
                <w:color w:val="auto"/>
              </w:rPr>
              <w:t xml:space="preserve">in certain </w:t>
            </w:r>
            <w:r w:rsidR="003C3CCB" w:rsidRPr="003C3CCB">
              <w:rPr>
                <w:rStyle w:val="A4"/>
                <w:color w:val="auto"/>
              </w:rPr>
              <w:t>Aboriginal communities.</w:t>
            </w:r>
          </w:p>
          <w:p w14:paraId="3E8B4283" w14:textId="502439D6" w:rsidR="001564A4" w:rsidRPr="007A7C1E" w:rsidRDefault="001564A4" w:rsidP="00CD72EA">
            <w:pPr>
              <w:pStyle w:val="Pa12"/>
              <w:spacing w:line="240" w:lineRule="auto"/>
              <w:jc w:val="both"/>
              <w:rPr>
                <w:rStyle w:val="A4"/>
                <w:color w:val="auto"/>
              </w:rPr>
            </w:pPr>
            <w:r w:rsidRPr="007A7C1E">
              <w:rPr>
                <w:rStyle w:val="A4"/>
                <w:b/>
                <w:bCs/>
              </w:rPr>
              <w:t>Grant Support:</w:t>
            </w:r>
            <w:r w:rsidRPr="007A7C1E">
              <w:rPr>
                <w:rStyle w:val="A4"/>
              </w:rPr>
              <w:t xml:space="preserve"> </w:t>
            </w:r>
            <w:r w:rsidR="002B6E88" w:rsidRPr="002B6E88">
              <w:rPr>
                <w:rStyle w:val="A4"/>
              </w:rPr>
              <w:t>This research received the TSANZ - Robert Pierce Grant-In-Aid for Indigenous Lung Health. The TSANZ did not have any role in the study design, data collection, analysis, or interpretation.</w:t>
            </w:r>
          </w:p>
          <w:p w14:paraId="7F8381F0" w14:textId="0E620136" w:rsidR="001564A4" w:rsidRPr="007A7C1E" w:rsidRDefault="001564A4" w:rsidP="004026E7">
            <w:pPr>
              <w:pStyle w:val="Pa12"/>
              <w:spacing w:line="360" w:lineRule="auto"/>
              <w:jc w:val="both"/>
              <w:rPr>
                <w:sz w:val="22"/>
                <w:szCs w:val="22"/>
              </w:rPr>
            </w:pP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  <w:r w:rsidRPr="007A7C1E">
              <w:rPr>
                <w:sz w:val="22"/>
                <w:szCs w:val="22"/>
              </w:rPr>
              <w:br/>
            </w:r>
          </w:p>
          <w:p w14:paraId="731CD908" w14:textId="77777777" w:rsidR="001564A4" w:rsidRPr="007A7C1E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7A7C1E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7A7C1E" w:rsidRDefault="001564A4" w:rsidP="000A28E2">
            <w:pPr>
              <w:pStyle w:val="Pa12"/>
              <w:rPr>
                <w:rStyle w:val="A4"/>
                <w:bCs/>
              </w:rPr>
            </w:pP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  <w:r w:rsidRPr="007A7C1E">
              <w:rPr>
                <w:rStyle w:val="A4"/>
                <w:bCs/>
              </w:rPr>
              <w:br/>
            </w:r>
          </w:p>
          <w:p w14:paraId="14DC37E4" w14:textId="77777777" w:rsidR="001564A4" w:rsidRPr="007A7C1E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7A7C1E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  <w:r w:rsidRPr="007A7C1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12827"/>
    <w:rsid w:val="00013CB0"/>
    <w:rsid w:val="000C176B"/>
    <w:rsid w:val="00127629"/>
    <w:rsid w:val="001564A4"/>
    <w:rsid w:val="00185DCB"/>
    <w:rsid w:val="001B6F1B"/>
    <w:rsid w:val="001F39DC"/>
    <w:rsid w:val="002204C1"/>
    <w:rsid w:val="0025421E"/>
    <w:rsid w:val="00277BB8"/>
    <w:rsid w:val="002B6E88"/>
    <w:rsid w:val="002E4B59"/>
    <w:rsid w:val="003516F6"/>
    <w:rsid w:val="003A4D65"/>
    <w:rsid w:val="003C1B5D"/>
    <w:rsid w:val="003C3CCB"/>
    <w:rsid w:val="003D0795"/>
    <w:rsid w:val="00402137"/>
    <w:rsid w:val="004026E7"/>
    <w:rsid w:val="0042066D"/>
    <w:rsid w:val="00421E8B"/>
    <w:rsid w:val="0042771F"/>
    <w:rsid w:val="00467D7E"/>
    <w:rsid w:val="0047152F"/>
    <w:rsid w:val="00571192"/>
    <w:rsid w:val="005E284C"/>
    <w:rsid w:val="006308F8"/>
    <w:rsid w:val="00656134"/>
    <w:rsid w:val="0066431B"/>
    <w:rsid w:val="00695EFA"/>
    <w:rsid w:val="006E551C"/>
    <w:rsid w:val="007302BE"/>
    <w:rsid w:val="007A7C1E"/>
    <w:rsid w:val="008803FA"/>
    <w:rsid w:val="008C2FD4"/>
    <w:rsid w:val="008F4B03"/>
    <w:rsid w:val="009177AB"/>
    <w:rsid w:val="00955804"/>
    <w:rsid w:val="009574EF"/>
    <w:rsid w:val="00995F94"/>
    <w:rsid w:val="009E36ED"/>
    <w:rsid w:val="00A123A4"/>
    <w:rsid w:val="00A25414"/>
    <w:rsid w:val="00A45D66"/>
    <w:rsid w:val="00A60511"/>
    <w:rsid w:val="00A672F6"/>
    <w:rsid w:val="00A67CB0"/>
    <w:rsid w:val="00A73A1E"/>
    <w:rsid w:val="00A73A52"/>
    <w:rsid w:val="00A94D8C"/>
    <w:rsid w:val="00AB7AD3"/>
    <w:rsid w:val="00AC62F0"/>
    <w:rsid w:val="00AD3B45"/>
    <w:rsid w:val="00AE46A9"/>
    <w:rsid w:val="00B12E32"/>
    <w:rsid w:val="00B25666"/>
    <w:rsid w:val="00B263D8"/>
    <w:rsid w:val="00B40AA9"/>
    <w:rsid w:val="00B513A6"/>
    <w:rsid w:val="00B751D3"/>
    <w:rsid w:val="00BA28F0"/>
    <w:rsid w:val="00BC5654"/>
    <w:rsid w:val="00BE17E0"/>
    <w:rsid w:val="00C47420"/>
    <w:rsid w:val="00C63258"/>
    <w:rsid w:val="00C958D7"/>
    <w:rsid w:val="00CD72EA"/>
    <w:rsid w:val="00D12065"/>
    <w:rsid w:val="00D30CD7"/>
    <w:rsid w:val="00D41746"/>
    <w:rsid w:val="00D60B60"/>
    <w:rsid w:val="00D778B2"/>
    <w:rsid w:val="00DD21EE"/>
    <w:rsid w:val="00E01627"/>
    <w:rsid w:val="00E0700F"/>
    <w:rsid w:val="00E260BF"/>
    <w:rsid w:val="00E31D9A"/>
    <w:rsid w:val="00E44D59"/>
    <w:rsid w:val="00E82244"/>
    <w:rsid w:val="00EA669A"/>
    <w:rsid w:val="00EC562E"/>
    <w:rsid w:val="00F06EB3"/>
    <w:rsid w:val="00F2763C"/>
    <w:rsid w:val="00F32B01"/>
    <w:rsid w:val="00F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5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673278b541b2da04f381b9e941704f3f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b5c949c5019e72115fe0d5a6506e3e09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4AEAC-B856-446A-94AE-8290A4CC4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4</cp:revision>
  <dcterms:created xsi:type="dcterms:W3CDTF">2023-10-20T23:41:00Z</dcterms:created>
  <dcterms:modified xsi:type="dcterms:W3CDTF">2023-10-20T23:41:00Z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