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bl>
      <w:tblPr>
        <w:tblStyle w:val="Table1"/>
        <w:tblW w:w="86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0"/>
        <w:tblGridChange w:id="0">
          <w:tblGrid>
            <w:gridCol w:w="8640"/>
          </w:tblGrid>
        </w:tblGridChange>
      </w:tblGrid>
      <w:tr>
        <w:trPr>
          <w:cantSplit w:val="0"/>
          <w:tblHeader w:val="0"/>
        </w:trPr>
        <w:tc>
          <w:tcPr>
            <w:shd w:fill="auto" w:val="clear"/>
          </w:tcPr>
          <w:p w:rsidR="00000000" w:rsidDel="00000000" w:rsidP="00000000" w:rsidRDefault="00000000" w:rsidRPr="00000000" w14:paraId="00000002">
            <w:pPr>
              <w:spacing w:after="120" w:before="120" w:lineRule="auto"/>
              <w:rPr>
                <w:rFonts w:ascii="Arial" w:cs="Arial" w:eastAsia="Arial" w:hAnsi="Arial"/>
                <w:b w:val="1"/>
              </w:rPr>
            </w:pPr>
            <w:r w:rsidDel="00000000" w:rsidR="00000000" w:rsidRPr="00000000">
              <w:rPr>
                <w:rFonts w:ascii="Arial" w:cs="Arial" w:eastAsia="Arial" w:hAnsi="Arial"/>
                <w:b w:val="1"/>
                <w:shd w:fill="fcfcfc" w:val="clear"/>
                <w:rtl w:val="0"/>
              </w:rPr>
              <w:t xml:space="preserve">A 6 minute walk test may predict hypoxia during air-travel in ILD patients.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3">
            <w:pPr>
              <w:spacing w:after="120" w:before="120" w:lineRule="auto"/>
              <w:rPr>
                <w:rFonts w:ascii="Arial" w:cs="Arial" w:eastAsia="Arial" w:hAnsi="Arial"/>
                <w:i w:val="1"/>
                <w:u w:val="single"/>
              </w:rPr>
            </w:pPr>
            <w:r w:rsidDel="00000000" w:rsidR="00000000" w:rsidRPr="00000000">
              <w:rPr>
                <w:rFonts w:ascii="Arial" w:cs="Arial" w:eastAsia="Arial" w:hAnsi="Arial"/>
                <w:i w:val="1"/>
                <w:rtl w:val="0"/>
              </w:rPr>
              <w:t xml:space="preserve">Syed Ali Qasim</w:t>
            </w:r>
            <w:r w:rsidDel="00000000" w:rsidR="00000000" w:rsidRPr="00000000">
              <w:rPr>
                <w:rFonts w:ascii="Arial" w:cs="Arial" w:eastAsia="Arial" w:hAnsi="Arial"/>
                <w:i w:val="1"/>
                <w:vertAlign w:val="superscript"/>
                <w:rtl w:val="0"/>
              </w:rPr>
              <w:t xml:space="preserve">1</w:t>
            </w:r>
            <w:bookmarkStart w:colFirst="0" w:colLast="0" w:name="gjdgxs" w:id="0"/>
            <w:bookmarkEnd w:id="0"/>
            <w:r w:rsidDel="00000000" w:rsidR="00000000" w:rsidRPr="00000000">
              <w:rPr>
                <w:rFonts w:ascii="Arial" w:cs="Arial" w:eastAsia="Arial" w:hAnsi="Arial"/>
                <w:i w:val="1"/>
                <w:vertAlign w:val="superscript"/>
                <w:rtl w:val="0"/>
              </w:rPr>
              <w:t xml:space="preserve">,2</w:t>
            </w:r>
            <w:r w:rsidDel="00000000" w:rsidR="00000000" w:rsidRPr="00000000">
              <w:rPr>
                <w:rFonts w:ascii="Arial" w:cs="Arial" w:eastAsia="Arial" w:hAnsi="Arial"/>
                <w:i w:val="1"/>
                <w:rtl w:val="0"/>
              </w:rPr>
              <w:t xml:space="preserve">, Ethan Donhardt</w:t>
            </w:r>
            <w:r w:rsidDel="00000000" w:rsidR="00000000" w:rsidRPr="00000000">
              <w:rPr>
                <w:rFonts w:ascii="Arial" w:cs="Arial" w:eastAsia="Arial" w:hAnsi="Arial"/>
                <w:i w:val="1"/>
                <w:vertAlign w:val="superscript"/>
                <w:rtl w:val="0"/>
              </w:rPr>
              <w:t xml:space="preserve">1,2</w:t>
            </w:r>
            <w:r w:rsidDel="00000000" w:rsidR="00000000" w:rsidRPr="00000000">
              <w:rPr>
                <w:rFonts w:ascii="Arial" w:cs="Arial" w:eastAsia="Arial" w:hAnsi="Arial"/>
                <w:i w:val="1"/>
                <w:rtl w:val="0"/>
              </w:rPr>
              <w:t xml:space="preserve">, George Politis</w:t>
            </w:r>
            <w:r w:rsidDel="00000000" w:rsidR="00000000" w:rsidRPr="00000000">
              <w:rPr>
                <w:rFonts w:ascii="Arial" w:cs="Arial" w:eastAsia="Arial" w:hAnsi="Arial"/>
                <w:i w:val="1"/>
                <w:vertAlign w:val="superscript"/>
                <w:rtl w:val="0"/>
              </w:rPr>
              <w:t xml:space="preserve">1</w:t>
            </w:r>
            <w:r w:rsidDel="00000000" w:rsidR="00000000" w:rsidRPr="00000000">
              <w:rPr>
                <w:rFonts w:ascii="Arial" w:cs="Arial" w:eastAsia="Arial" w:hAnsi="Arial"/>
                <w:i w:val="1"/>
                <w:rtl w:val="0"/>
              </w:rPr>
              <w:t xml:space="preserve">, Emre Yilmaz</w:t>
            </w:r>
            <w:r w:rsidDel="00000000" w:rsidR="00000000" w:rsidRPr="00000000">
              <w:rPr>
                <w:rFonts w:ascii="Arial" w:cs="Arial" w:eastAsia="Arial" w:hAnsi="Arial"/>
                <w:i w:val="1"/>
                <w:vertAlign w:val="superscript"/>
                <w:rtl w:val="0"/>
              </w:rPr>
              <w:t xml:space="preserve">1</w:t>
            </w:r>
            <w:r w:rsidDel="00000000" w:rsidR="00000000" w:rsidRPr="00000000">
              <w:rPr>
                <w:rFonts w:ascii="Arial" w:cs="Arial" w:eastAsia="Arial" w:hAnsi="Arial"/>
                <w:i w:val="1"/>
                <w:rtl w:val="0"/>
              </w:rPr>
              <w:t xml:space="preserve">, Benjamin Leaver</w:t>
            </w:r>
            <w:r w:rsidDel="00000000" w:rsidR="00000000" w:rsidRPr="00000000">
              <w:rPr>
                <w:rFonts w:ascii="Arial" w:cs="Arial" w:eastAsia="Arial" w:hAnsi="Arial"/>
                <w:i w:val="1"/>
                <w:vertAlign w:val="superscript"/>
                <w:rtl w:val="0"/>
              </w:rPr>
              <w:t xml:space="preserve">1</w:t>
            </w:r>
            <w:r w:rsidDel="00000000" w:rsidR="00000000" w:rsidRPr="00000000">
              <w:rPr>
                <w:rFonts w:ascii="Arial" w:cs="Arial" w:eastAsia="Arial" w:hAnsi="Arial"/>
                <w:i w:val="1"/>
                <w:rtl w:val="0"/>
              </w:rPr>
              <w:t xml:space="preserve">, Megan Rees</w:t>
            </w:r>
            <w:r w:rsidDel="00000000" w:rsidR="00000000" w:rsidRPr="00000000">
              <w:rPr>
                <w:rFonts w:ascii="Arial" w:cs="Arial" w:eastAsia="Arial" w:hAnsi="Arial"/>
                <w:i w:val="1"/>
                <w:vertAlign w:val="superscript"/>
                <w:rtl w:val="0"/>
              </w:rPr>
              <w:t xml:space="preserve">1</w:t>
            </w:r>
            <w:r w:rsidDel="00000000" w:rsidR="00000000" w:rsidRPr="00000000">
              <w:rPr>
                <w:rFonts w:ascii="Arial" w:cs="Arial" w:eastAsia="Arial" w:hAnsi="Arial"/>
                <w:i w:val="1"/>
                <w:rtl w:val="0"/>
              </w:rPr>
              <w:t xml:space="preserve">, Faizal Hartley</w:t>
            </w:r>
            <w:r w:rsidDel="00000000" w:rsidR="00000000" w:rsidRPr="00000000">
              <w:rPr>
                <w:rFonts w:ascii="Arial" w:cs="Arial" w:eastAsia="Arial" w:hAnsi="Arial"/>
                <w:i w:val="1"/>
                <w:vertAlign w:val="superscript"/>
                <w:rtl w:val="0"/>
              </w:rPr>
              <w:t xml:space="preserve">1</w:t>
            </w:r>
            <w:r w:rsidDel="00000000" w:rsidR="00000000" w:rsidRPr="00000000">
              <w:rPr>
                <w:rtl w:val="0"/>
              </w:rPr>
            </w:r>
          </w:p>
        </w:tc>
      </w:tr>
      <w:tr>
        <w:trPr>
          <w:cantSplit w:val="0"/>
          <w:trHeight w:val="136" w:hRule="atLeast"/>
          <w:tblHeader w:val="0"/>
        </w:trPr>
        <w:tc>
          <w:tcPr>
            <w:shd w:fill="auto" w:val="clear"/>
          </w:tcPr>
          <w:p w:rsidR="00000000" w:rsidDel="00000000" w:rsidP="00000000" w:rsidRDefault="00000000" w:rsidRPr="00000000" w14:paraId="00000004">
            <w:pPr>
              <w:spacing w:after="120" w:before="120" w:lineRule="auto"/>
              <w:rPr>
                <w:rFonts w:ascii="Arial" w:cs="Arial" w:eastAsia="Arial" w:hAnsi="Arial"/>
                <w:i w:val="1"/>
              </w:rPr>
            </w:pPr>
            <w:r w:rsidDel="00000000" w:rsidR="00000000" w:rsidRPr="00000000">
              <w:rPr>
                <w:rFonts w:ascii="Arial" w:cs="Arial" w:eastAsia="Arial" w:hAnsi="Arial"/>
                <w:i w:val="1"/>
                <w:vertAlign w:val="superscript"/>
                <w:rtl w:val="0"/>
              </w:rPr>
              <w:t xml:space="preserve">1</w:t>
            </w:r>
            <w:r w:rsidDel="00000000" w:rsidR="00000000" w:rsidRPr="00000000">
              <w:rPr>
                <w:rFonts w:ascii="Arial" w:cs="Arial" w:eastAsia="Arial" w:hAnsi="Arial"/>
                <w:i w:val="1"/>
                <w:rtl w:val="0"/>
              </w:rPr>
              <w:t xml:space="preserve">Royal Melbourne Hospital</w:t>
            </w:r>
          </w:p>
          <w:p w:rsidR="00000000" w:rsidDel="00000000" w:rsidP="00000000" w:rsidRDefault="00000000" w:rsidRPr="00000000" w14:paraId="00000005">
            <w:pPr>
              <w:spacing w:after="120" w:before="120" w:lineRule="auto"/>
              <w:rPr>
                <w:rFonts w:ascii="Arial" w:cs="Arial" w:eastAsia="Arial" w:hAnsi="Arial"/>
                <w:i w:val="1"/>
              </w:rPr>
            </w:pPr>
            <w:r w:rsidDel="00000000" w:rsidR="00000000" w:rsidRPr="00000000">
              <w:rPr>
                <w:rFonts w:ascii="Arial" w:cs="Arial" w:eastAsia="Arial" w:hAnsi="Arial"/>
                <w:i w:val="1"/>
                <w:vertAlign w:val="superscript"/>
                <w:rtl w:val="0"/>
              </w:rPr>
              <w:t xml:space="preserve">2</w:t>
            </w:r>
            <w:r w:rsidDel="00000000" w:rsidR="00000000" w:rsidRPr="00000000">
              <w:rPr>
                <w:rFonts w:ascii="Arial" w:cs="Arial" w:eastAsia="Arial" w:hAnsi="Arial"/>
                <w:i w:val="1"/>
                <w:rtl w:val="0"/>
              </w:rPr>
              <w:t xml:space="preserve">Swinburne University of Technology</w:t>
            </w:r>
          </w:p>
        </w:tc>
      </w:tr>
      <w:tr>
        <w:trPr>
          <w:cantSplit w:val="0"/>
          <w:trHeight w:val="7352" w:hRule="atLeast"/>
          <w:tblHeader w:val="0"/>
        </w:trPr>
        <w:tc>
          <w:tcPr>
            <w:shd w:fill="auto" w:val="cle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Introduction/Aim:</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w:t>
            </w:r>
            <w:r w:rsidDel="00000000" w:rsidR="00000000" w:rsidRPr="00000000">
              <w:rPr>
                <w:rFonts w:ascii="Arial" w:cs="Arial" w:eastAsia="Arial" w:hAnsi="Arial"/>
                <w:rtl w:val="0"/>
              </w:rPr>
              <w:t xml:space="preserve">Patients with Interstitial Lung Disease (ILD) are at risk of significant hypoxia due to hypobaric conditions of aeroplane cabins. It is known that within the ILD cohort, spirometry and sea level SpO2 are not predictors of hypoxia at altitude</w:t>
            </w: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Fonts w:ascii="Arial" w:cs="Arial" w:eastAsia="Arial" w:hAnsi="Arial"/>
                <w:rtl w:val="0"/>
              </w:rPr>
              <w:t xml:space="preserve">High-Altitude Simulation Test</w:t>
            </w: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Fonts w:ascii="Arial" w:cs="Arial" w:eastAsia="Arial" w:hAnsi="Arial"/>
                <w:rtl w:val="0"/>
              </w:rPr>
              <w:t xml:space="preserve">HAST) is the gold standard for pre-flight assessment, although it is not always an accessible method of testing. The aim of this study was to identify lung function parameters that may predict hypoxia during HAST, in ILD patients.</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Method: </w:t>
            </w:r>
            <w:r w:rsidDel="00000000" w:rsidR="00000000" w:rsidRPr="00000000">
              <w:rPr>
                <w:rFonts w:ascii="Arial" w:cs="Arial" w:eastAsia="Arial" w:hAnsi="Arial"/>
                <w:rtl w:val="0"/>
              </w:rPr>
              <w:t xml:space="preserve">A retrospective analysis was conducted on 16 ILD patients, utilizing data from the Royal Melbourne Hospital’s Respiratory Laboratory database</w:t>
            </w: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Fonts w:ascii="Arial" w:cs="Arial" w:eastAsia="Arial" w:hAnsi="Arial"/>
                <w:rtl w:val="0"/>
              </w:rPr>
              <w:t xml:space="preserve">Spirometry, Diffusion Capacity of Carbon Monoxide (DLCO), Six Minute Walk Test (6MWT), and HAST results from August 2021 to October 2023 were included.</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b w:val="1"/>
                <w:rtl w:val="0"/>
              </w:rPr>
              <w:t xml:space="preserve">Results: </w:t>
            </w:r>
            <w:r w:rsidDel="00000000" w:rsidR="00000000" w:rsidRPr="00000000">
              <w:rPr>
                <w:rFonts w:ascii="Arial" w:cs="Arial" w:eastAsia="Arial" w:hAnsi="Arial"/>
                <w:rtl w:val="0"/>
              </w:rPr>
              <w:t xml:space="preserve">The mean FVC % predicted was 76% </w:t>
            </w:r>
            <w:r w:rsidDel="00000000" w:rsidR="00000000" w:rsidRPr="00000000">
              <w:rPr>
                <w:rFonts w:ascii="Arial Unicode MS" w:cs="Arial Unicode MS" w:eastAsia="Arial Unicode MS" w:hAnsi="Arial Unicode MS"/>
                <w:highlight w:val="white"/>
                <w:rtl w:val="0"/>
              </w:rPr>
              <w:t xml:space="preserve">± 22.9, average DLCO % predicted was 43.8 ± 2.17, and mean nadir SpO2 during the 6MWT was 84% ± 5. Results indicated that the 4 patients who desaturated ≤85% during the HAST had also desaturated ≤85% on the 6MWT. The remaining 12 patients did not desaturate ≤85% during a HAST. Among these patients, only 8 of them desaturated ≤85% during the 6MWT. A Wilcoxon signed rank test revealed a significant correlation between nadir SpO2 observed during a 6MWT and during a HAST (n=16, Z=2.22, p &lt;0.05).</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Conclusion:</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w:t>
            </w:r>
            <w:r w:rsidDel="00000000" w:rsidR="00000000" w:rsidRPr="00000000">
              <w:rPr>
                <w:rFonts w:ascii="Arial" w:cs="Arial" w:eastAsia="Arial" w:hAnsi="Arial"/>
                <w:rtl w:val="0"/>
              </w:rPr>
              <w:t xml:space="preserve">The results of this study indicate that a 6MWT may be a surrogate for a HAST and help guide referring doctors in pre-flight assessments for ILD patients.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Key Words: </w:t>
            </w:r>
            <w:r w:rsidDel="00000000" w:rsidR="00000000" w:rsidRPr="00000000">
              <w:rPr>
                <w:rFonts w:ascii="Arial" w:cs="Arial" w:eastAsia="Arial" w:hAnsi="Arial"/>
                <w:rtl w:val="0"/>
              </w:rPr>
              <w:t xml:space="preserve">Interstitial Lung Disease; Hypoxia Altitude Simulation Test; Lung Function Test; Six Minute Walk Test</w:t>
            </w:r>
            <w:r w:rsidDel="00000000" w:rsidR="00000000" w:rsidRPr="00000000">
              <w:rPr>
                <w:rFonts w:ascii="Arial" w:cs="Arial" w:eastAsia="Arial" w:hAnsi="Arial"/>
                <w:i w:val="0"/>
                <w:smallCaps w:val="0"/>
                <w:strike w:val="0"/>
                <w:color w:val="000000"/>
                <w:u w:val="none"/>
                <w:shd w:fill="auto" w:val="clear"/>
                <w:vertAlign w:val="baseline"/>
                <w:rtl w:val="0"/>
              </w:rPr>
              <w:t xml:space="preserve">.</w:t>
              <w:br w:type="textWrapping"/>
            </w:r>
            <w:r w:rsidDel="00000000" w:rsidR="00000000" w:rsidRPr="00000000">
              <w:rPr>
                <w:rFonts w:ascii="Arial" w:cs="Arial" w:eastAsia="Arial" w:hAnsi="Arial"/>
                <w:b w:val="1"/>
                <w:rtl w:val="0"/>
              </w:rPr>
              <w:t xml:space="preserve">Nomination for New Investigator Award: </w:t>
            </w:r>
            <w:r w:rsidDel="00000000" w:rsidR="00000000" w:rsidRPr="00000000">
              <w:rPr>
                <w:rFonts w:ascii="Arial" w:cs="Arial" w:eastAsia="Arial" w:hAnsi="Arial"/>
                <w:rtl w:val="0"/>
              </w:rPr>
              <w:t xml:space="preserve">n/a</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bookmarkStart w:colFirst="0" w:colLast="0" w:name="_30j0zll" w:id="1"/>
            <w:bookmarkEnd w:id="1"/>
            <w:r w:rsidDel="00000000" w:rsidR="00000000" w:rsidRPr="00000000">
              <w:rPr>
                <w:rFonts w:ascii="Arial" w:cs="Arial" w:eastAsia="Arial" w:hAnsi="Arial"/>
                <w:b w:val="1"/>
                <w:rtl w:val="0"/>
              </w:rPr>
              <w:t xml:space="preserve">Grant Support: </w:t>
            </w:r>
            <w:r w:rsidDel="00000000" w:rsidR="00000000" w:rsidRPr="00000000">
              <w:rPr>
                <w:rFonts w:ascii="Arial" w:cs="Arial" w:eastAsia="Arial" w:hAnsi="Arial"/>
                <w:rtl w:val="0"/>
              </w:rPr>
              <w:t xml:space="preserve">n/a</w:t>
            </w:r>
            <w:r w:rsidDel="00000000" w:rsidR="00000000" w:rsidRPr="00000000">
              <w:rPr>
                <w:rFonts w:ascii="Arial" w:cs="Arial" w:eastAsia="Arial" w:hAnsi="Arial"/>
                <w:i w:val="0"/>
                <w:smallCaps w:val="0"/>
                <w:strike w:val="0"/>
                <w:color w:val="000000"/>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bookmarkStart w:colFirst="0" w:colLast="0" w:name="_oi4ak49oktsx" w:id="2"/>
            <w:bookmarkEnd w:id="2"/>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bookmarkStart w:colFirst="0" w:colLast="0" w:name="_9uju712o9o7h" w:id="3"/>
            <w:bookmarkEnd w:id="3"/>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bookmarkStart w:colFirst="0" w:colLast="0" w:name="_6m0yrrrganit" w:id="4"/>
            <w:bookmarkEnd w:id="4"/>
            <w:r w:rsidDel="00000000" w:rsidR="00000000" w:rsidRPr="00000000">
              <w:rPr>
                <w:rtl w:val="0"/>
              </w:rPr>
            </w:r>
          </w:p>
        </w:tc>
      </w:tr>
    </w:tbl>
    <w:p w:rsidR="00000000" w:rsidDel="00000000" w:rsidP="00000000" w:rsidRDefault="00000000" w:rsidRPr="00000000" w14:paraId="0000000F">
      <w:pPr>
        <w:rPr>
          <w:rFonts w:ascii="Arial" w:cs="Arial" w:eastAsia="Arial" w:hAnsi="Arial"/>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N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B9290-3CE5-48FF-9C22-B6D38FEDA833}"/>
</file>

<file path=customXml/itemProps2.xml><?xml version="1.0" encoding="utf-8"?>
<ds:datastoreItem xmlns:ds="http://schemas.openxmlformats.org/officeDocument/2006/customXml" ds:itemID="{78E0AFAB-F43F-49C7-BC88-AE4F7B6CFE92}"/>
</file>

<file path=customXml/itemProps3.xml><?xml version="1.0" encoding="utf-8"?>
<ds:datastoreItem xmlns:ds="http://schemas.openxmlformats.org/officeDocument/2006/customXml" ds:itemID="{AFFB8E9A-1834-43B9-A753-AAB8FF9A77CA}"/>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