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1564A4" w:rsidRPr="0050053A" w14:paraId="5C38377B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5C44F357" w14:textId="6ED5B4AA" w:rsidR="001564A4" w:rsidRPr="0050053A" w:rsidRDefault="00A557E4" w:rsidP="00A557E4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 w:rsidRPr="00A557E4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The effect of extracellular matrix produced from epithelial cells as a model of idiopathic pulmonary fibrosis</w:t>
            </w:r>
          </w:p>
        </w:tc>
      </w:tr>
      <w:tr w:rsidR="001564A4" w:rsidRPr="0050053A" w14:paraId="0E2E035C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25F98356" w14:textId="77777777" w:rsidR="00A557E4" w:rsidRPr="00A557E4" w:rsidRDefault="00A557E4" w:rsidP="00A557E4">
            <w:pPr>
              <w:spacing w:before="120" w:after="120"/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en-US" w:eastAsia="en-GB"/>
              </w:rPr>
            </w:pPr>
            <w:proofErr w:type="spellStart"/>
            <w:r w:rsidRPr="00A557E4">
              <w:rPr>
                <w:rFonts w:ascii="Arial" w:hAnsi="Arial" w:cs="Arial"/>
                <w:i/>
                <w:iCs/>
                <w:sz w:val="22"/>
                <w:szCs w:val="22"/>
                <w:lang w:val="en-US" w:eastAsia="en-GB"/>
              </w:rPr>
              <w:t>Samaneh</w:t>
            </w:r>
            <w:proofErr w:type="spellEnd"/>
            <w:r w:rsidRPr="00A557E4">
              <w:rPr>
                <w:rFonts w:ascii="Arial" w:hAnsi="Arial" w:cs="Arial"/>
                <w:i/>
                <w:iCs/>
                <w:sz w:val="22"/>
                <w:szCs w:val="22"/>
                <w:lang w:val="en-US" w:eastAsia="en-GB"/>
              </w:rPr>
              <w:t xml:space="preserve"> Tokhanbigli</w:t>
            </w:r>
            <w:r w:rsidRPr="00A557E4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en-US" w:eastAsia="en-GB"/>
              </w:rPr>
              <w:t>1</w:t>
            </w:r>
            <w:bookmarkStart w:id="0" w:name="Text8"/>
            <w:r w:rsidRPr="00A557E4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en-US" w:eastAsia="en-GB"/>
              </w:rPr>
              <w:t>,2</w:t>
            </w:r>
            <w:r w:rsidRPr="00A557E4">
              <w:rPr>
                <w:rFonts w:ascii="Arial" w:hAnsi="Arial" w:cs="Arial"/>
                <w:i/>
                <w:iCs/>
                <w:sz w:val="22"/>
                <w:szCs w:val="22"/>
                <w:lang w:val="en-US" w:eastAsia="en-GB"/>
              </w:rPr>
              <w:t>,</w:t>
            </w:r>
            <w:bookmarkEnd w:id="0"/>
            <w:r w:rsidRPr="00A557E4">
              <w:rPr>
                <w:rFonts w:ascii="Arial" w:hAnsi="Arial" w:cs="Arial"/>
                <w:i/>
                <w:iCs/>
                <w:sz w:val="22"/>
                <w:szCs w:val="22"/>
                <w:lang w:val="en-US" w:eastAsia="en-GB"/>
              </w:rPr>
              <w:t xml:space="preserve"> Hannah W.Y Parker</w:t>
            </w:r>
            <w:r w:rsidRPr="00A557E4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en-US" w:eastAsia="en-GB"/>
              </w:rPr>
              <w:t>1,2</w:t>
            </w:r>
            <w:r w:rsidRPr="00A557E4">
              <w:rPr>
                <w:rFonts w:ascii="Arial" w:hAnsi="Arial" w:cs="Arial"/>
                <w:i/>
                <w:iCs/>
                <w:sz w:val="22"/>
                <w:szCs w:val="22"/>
                <w:lang w:val="en-US" w:eastAsia="en-GB"/>
              </w:rPr>
              <w:t xml:space="preserve">, </w:t>
            </w:r>
            <w:proofErr w:type="spellStart"/>
            <w:r w:rsidRPr="00A557E4">
              <w:rPr>
                <w:rFonts w:ascii="Arial" w:hAnsi="Arial" w:cs="Arial"/>
                <w:i/>
                <w:iCs/>
                <w:sz w:val="22"/>
                <w:szCs w:val="22"/>
                <w:lang w:val="en-US" w:eastAsia="en-GB"/>
              </w:rPr>
              <w:t>Maija</w:t>
            </w:r>
            <w:proofErr w:type="spellEnd"/>
            <w:r w:rsidRPr="00A557E4">
              <w:rPr>
                <w:rFonts w:ascii="Arial" w:hAnsi="Arial" w:cs="Arial"/>
                <w:i/>
                <w:iCs/>
                <w:sz w:val="22"/>
                <w:szCs w:val="22"/>
                <w:lang w:val="en-US" w:eastAsia="en-GB"/>
              </w:rPr>
              <w:t xml:space="preserve"> R.J. Kohonen-Corish</w:t>
            </w:r>
            <w:r w:rsidRPr="00A557E4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en-US" w:eastAsia="en-GB"/>
              </w:rPr>
              <w:t>1,2</w:t>
            </w:r>
            <w:r w:rsidRPr="00A557E4">
              <w:rPr>
                <w:rFonts w:ascii="Arial" w:hAnsi="Arial" w:cs="Arial"/>
                <w:i/>
                <w:iCs/>
                <w:sz w:val="22"/>
                <w:szCs w:val="22"/>
                <w:lang w:val="en-US" w:eastAsia="en-GB"/>
              </w:rPr>
              <w:t>,</w:t>
            </w:r>
            <w:r w:rsidRPr="00A557E4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en-US" w:eastAsia="en-GB"/>
              </w:rPr>
              <w:t xml:space="preserve"> </w:t>
            </w:r>
          </w:p>
          <w:p w14:paraId="73B55295" w14:textId="70302E64" w:rsidR="001564A4" w:rsidRPr="00413B94" w:rsidRDefault="00A557E4" w:rsidP="00A557E4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r w:rsidRPr="00A557E4">
              <w:rPr>
                <w:rFonts w:ascii="Arial" w:hAnsi="Arial" w:cs="Arial"/>
                <w:i/>
                <w:iCs/>
                <w:sz w:val="22"/>
                <w:szCs w:val="22"/>
                <w:lang w:val="en-US" w:eastAsia="en-GB"/>
              </w:rPr>
              <w:t>Brian G.G Oliver</w:t>
            </w:r>
            <w:r w:rsidRPr="00A557E4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en-US" w:eastAsia="en-GB"/>
              </w:rPr>
              <w:t>1,2</w:t>
            </w:r>
          </w:p>
        </w:tc>
      </w:tr>
      <w:tr w:rsidR="001564A4" w:rsidRPr="0050053A" w14:paraId="385A19D9" w14:textId="77777777" w:rsidTr="000A28E2">
        <w:trPr>
          <w:trHeight w:val="136"/>
          <w:jc w:val="center"/>
        </w:trPr>
        <w:tc>
          <w:tcPr>
            <w:tcW w:w="8640" w:type="dxa"/>
            <w:shd w:val="clear" w:color="auto" w:fill="auto"/>
          </w:tcPr>
          <w:p w14:paraId="6D195611" w14:textId="77777777" w:rsidR="00A557E4" w:rsidRPr="004266A8" w:rsidRDefault="00A557E4" w:rsidP="00A557E4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Theme="minorBidi" w:hAnsiTheme="minorBidi" w:cstheme="minorBidi"/>
                <w:i/>
                <w:sz w:val="22"/>
                <w:szCs w:val="22"/>
                <w:lang w:val="en-US" w:eastAsia="en-GB"/>
              </w:rPr>
            </w:pPr>
            <w:r w:rsidRPr="004266A8">
              <w:rPr>
                <w:rFonts w:asciiTheme="minorBidi" w:hAnsiTheme="minorBidi" w:cstheme="minorBidi"/>
                <w:i/>
                <w:sz w:val="22"/>
                <w:szCs w:val="22"/>
                <w:lang w:val="en-US" w:eastAsia="en-GB"/>
              </w:rPr>
              <w:t>School of Life Sciences, University of Technology Sydney, Ultimo, NSW, 2007, Australia</w:t>
            </w:r>
          </w:p>
          <w:p w14:paraId="45ED36BF" w14:textId="0007B434" w:rsidR="001564A4" w:rsidRPr="00A557E4" w:rsidRDefault="00A557E4" w:rsidP="00A557E4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A557E4">
              <w:rPr>
                <w:rFonts w:asciiTheme="minorBidi" w:hAnsiTheme="minorBidi" w:cstheme="minorBidi"/>
                <w:i/>
                <w:sz w:val="22"/>
                <w:szCs w:val="22"/>
                <w:lang w:val="en-US" w:eastAsia="en-GB"/>
              </w:rPr>
              <w:t>Woolcock Institute of Medical Research, Macquarie University, Sydney, New South Wales, Australia</w:t>
            </w:r>
          </w:p>
        </w:tc>
      </w:tr>
      <w:tr w:rsidR="001564A4" w:rsidRPr="0050053A" w14:paraId="6DAF615A" w14:textId="77777777" w:rsidTr="00A557E4">
        <w:trPr>
          <w:trHeight w:hRule="exact" w:val="10157"/>
          <w:jc w:val="center"/>
        </w:trPr>
        <w:tc>
          <w:tcPr>
            <w:tcW w:w="8640" w:type="dxa"/>
            <w:shd w:val="clear" w:color="auto" w:fill="auto"/>
          </w:tcPr>
          <w:p w14:paraId="454EC9F1" w14:textId="77777777" w:rsidR="00A557E4" w:rsidRPr="00AA1598" w:rsidRDefault="00A557E4" w:rsidP="00A557E4">
            <w:pPr>
              <w:spacing w:after="240"/>
              <w:jc w:val="both"/>
              <w:rPr>
                <w:rStyle w:val="A4"/>
                <w:rFonts w:asciiTheme="minorBidi" w:hAnsiTheme="minorBidi" w:cstheme="minorBidi"/>
              </w:rPr>
            </w:pPr>
            <w:r w:rsidRPr="00AA1598">
              <w:rPr>
                <w:rStyle w:val="A4"/>
                <w:rFonts w:asciiTheme="minorBidi" w:hAnsiTheme="minorBidi" w:cstheme="minorBidi"/>
                <w:b/>
                <w:bCs/>
              </w:rPr>
              <w:t xml:space="preserve">Introduction/Aim: </w:t>
            </w:r>
            <w:r w:rsidRPr="00AA1598">
              <w:rPr>
                <w:rFonts w:asciiTheme="minorBidi" w:hAnsiTheme="minorBidi" w:cstheme="minorBidi"/>
                <w:sz w:val="22"/>
                <w:szCs w:val="22"/>
                <w:lang w:val="en-US" w:eastAsia="en-GB"/>
              </w:rPr>
              <w:t>I</w:t>
            </w:r>
            <w:r w:rsidRPr="00AA1598">
              <w:rPr>
                <w:rFonts w:asciiTheme="minorBidi" w:hAnsiTheme="minorBidi" w:cstheme="minorBidi"/>
                <w:bCs/>
                <w:sz w:val="22"/>
                <w:szCs w:val="22"/>
                <w:lang w:val="en-US" w:eastAsia="en-GB"/>
              </w:rPr>
              <w:t>diopathic pulmonary fibrosis</w:t>
            </w:r>
            <w:r w:rsidRPr="00AA1598">
              <w:rPr>
                <w:rFonts w:asciiTheme="minorBidi" w:hAnsiTheme="minorBidi" w:cstheme="minorBidi"/>
                <w:sz w:val="22"/>
                <w:szCs w:val="22"/>
              </w:rPr>
              <w:t xml:space="preserve"> (IPF) is non-resolving fibrosis caused by repetitive injury and subsequent accumulation of extracellular matrix (ECM)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. </w:t>
            </w:r>
            <w:r w:rsidRPr="00026530">
              <w:rPr>
                <w:rFonts w:asciiTheme="minorBidi" w:hAnsiTheme="minorBidi" w:cstheme="minorBidi"/>
                <w:sz w:val="22"/>
                <w:szCs w:val="22"/>
              </w:rPr>
              <w:t>IPF accounts for the development of 4.4% to 48% of lung cancer in patients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, and one-third</w:t>
            </w:r>
            <w:r w:rsidRPr="00026530">
              <w:rPr>
                <w:rFonts w:asciiTheme="minorBidi" w:hAnsiTheme="minorBidi" w:cstheme="minorBidi"/>
                <w:sz w:val="22"/>
                <w:szCs w:val="22"/>
              </w:rPr>
              <w:t xml:space="preserve"> of lung cancer patients 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have</w:t>
            </w:r>
            <w:r w:rsidRPr="00026530">
              <w:rPr>
                <w:rFonts w:asciiTheme="minorBidi" w:hAnsiTheme="minorBidi" w:cstheme="minorBidi"/>
                <w:sz w:val="22"/>
                <w:szCs w:val="22"/>
              </w:rPr>
              <w:t xml:space="preserve"> pulmonary fibrosis. Developing lung cancer in IPF patients undergone a lung transplant is 20 times more than the general population.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 T</w:t>
            </w:r>
            <w:r w:rsidRPr="00026530">
              <w:rPr>
                <w:rFonts w:asciiTheme="minorBidi" w:hAnsiTheme="minorBidi" w:cstheme="minorBidi"/>
                <w:sz w:val="22"/>
                <w:szCs w:val="22"/>
              </w:rPr>
              <w:t xml:space="preserve">he relentless presence of </w:t>
            </w:r>
            <w:r w:rsidRPr="00AA1598">
              <w:rPr>
                <w:rFonts w:asciiTheme="minorBidi" w:hAnsiTheme="minorBidi" w:cstheme="minorBidi"/>
                <w:sz w:val="22"/>
                <w:szCs w:val="22"/>
              </w:rPr>
              <w:t xml:space="preserve">TGF-β1 </w:t>
            </w:r>
            <w:r w:rsidRPr="00026530">
              <w:rPr>
                <w:rFonts w:asciiTheme="minorBidi" w:hAnsiTheme="minorBidi" w:cstheme="minorBidi"/>
                <w:sz w:val="22"/>
                <w:szCs w:val="22"/>
              </w:rPr>
              <w:t>is considered the main trigger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, and </w:t>
            </w:r>
            <w:r w:rsidRPr="00026530">
              <w:rPr>
                <w:rFonts w:asciiTheme="minorBidi" w:hAnsiTheme="minorBidi" w:cstheme="minorBidi"/>
                <w:sz w:val="22"/>
                <w:szCs w:val="22"/>
              </w:rPr>
              <w:t>evidence suggest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s</w:t>
            </w:r>
            <w:r w:rsidRPr="00026530">
              <w:rPr>
                <w:rFonts w:asciiTheme="minorBidi" w:hAnsiTheme="minorBidi" w:cstheme="minorBidi"/>
                <w:sz w:val="22"/>
                <w:szCs w:val="22"/>
              </w:rPr>
              <w:t xml:space="preserve"> that during the inflammation, AEC2 cells are the major TFG-ß1 producers in IPF patients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.</w:t>
            </w:r>
            <w:r w:rsidRPr="00026530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Pr="000B31F6">
              <w:rPr>
                <w:rFonts w:asciiTheme="minorBidi" w:hAnsiTheme="minorBidi" w:cstheme="minorBidi"/>
                <w:sz w:val="22"/>
                <w:szCs w:val="22"/>
              </w:rPr>
              <w:t>Airway epithelial cell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s</w:t>
            </w:r>
            <w:r w:rsidRPr="000B31F6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(</w:t>
            </w:r>
            <w:r w:rsidRPr="00026530">
              <w:rPr>
                <w:rFonts w:asciiTheme="minorBidi" w:hAnsiTheme="minorBidi" w:cstheme="minorBidi"/>
                <w:sz w:val="22"/>
                <w:szCs w:val="22"/>
              </w:rPr>
              <w:t>AEC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s) </w:t>
            </w:r>
            <w:r w:rsidRPr="00026530">
              <w:rPr>
                <w:rFonts w:asciiTheme="minorBidi" w:hAnsiTheme="minorBidi" w:cstheme="minorBidi"/>
                <w:sz w:val="22"/>
                <w:szCs w:val="22"/>
              </w:rPr>
              <w:t>may potentially exert a more direct influence on these physiological processes through the alteration of ECM composition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, which is not elucidated. T</w:t>
            </w:r>
            <w:r w:rsidRPr="00AA1598">
              <w:rPr>
                <w:rFonts w:asciiTheme="minorBidi" w:hAnsiTheme="minorBidi" w:cstheme="minorBidi"/>
                <w:sz w:val="22"/>
                <w:szCs w:val="22"/>
              </w:rPr>
              <w:t xml:space="preserve">herefore, adopting an approach to enlighten the function of 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epithelial-derived ECM as</w:t>
            </w:r>
            <w:r w:rsidRPr="00AA1598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an </w:t>
            </w:r>
            <w:r w:rsidRPr="00AA1598">
              <w:rPr>
                <w:rFonts w:asciiTheme="minorBidi" w:hAnsiTheme="minorBidi" w:cstheme="minorBidi"/>
                <w:sz w:val="22"/>
                <w:szCs w:val="22"/>
              </w:rPr>
              <w:t xml:space="preserve">IPF 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model on lung cancer cell </w:t>
            </w:r>
            <w:r w:rsidRPr="00026530">
              <w:rPr>
                <w:rFonts w:asciiTheme="minorBidi" w:hAnsiTheme="minorBidi" w:cstheme="minorBidi"/>
                <w:sz w:val="22"/>
                <w:szCs w:val="22"/>
              </w:rPr>
              <w:t xml:space="preserve">behaviour </w:t>
            </w:r>
            <w:r w:rsidRPr="00AA1598">
              <w:rPr>
                <w:rFonts w:asciiTheme="minorBidi" w:hAnsiTheme="minorBidi" w:cstheme="minorBidi"/>
                <w:sz w:val="22"/>
                <w:szCs w:val="22"/>
              </w:rPr>
              <w:t xml:space="preserve">may 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propose a therapeutic approach for lung tumours with IPF.</w:t>
            </w:r>
          </w:p>
          <w:p w14:paraId="7AA6018E" w14:textId="77777777" w:rsidR="00A557E4" w:rsidRPr="00026530" w:rsidRDefault="00A557E4" w:rsidP="00A557E4">
            <w:pPr>
              <w:pStyle w:val="Pa12"/>
              <w:spacing w:after="240"/>
              <w:jc w:val="both"/>
              <w:rPr>
                <w:rStyle w:val="A4"/>
                <w:rFonts w:asciiTheme="minorBidi" w:hAnsiTheme="minorBidi" w:cstheme="minorBidi"/>
              </w:rPr>
            </w:pPr>
            <w:r w:rsidRPr="00AA1598">
              <w:rPr>
                <w:rStyle w:val="A4"/>
                <w:rFonts w:asciiTheme="minorBidi" w:hAnsiTheme="minorBidi" w:cstheme="minorBidi"/>
                <w:b/>
                <w:bCs/>
              </w:rPr>
              <w:t xml:space="preserve">Methods: </w:t>
            </w:r>
            <w:r w:rsidRPr="00AA1598">
              <w:rPr>
                <w:rFonts w:asciiTheme="minorBidi" w:hAnsiTheme="minorBidi" w:cstheme="minorBidi"/>
                <w:sz w:val="22"/>
                <w:szCs w:val="22"/>
              </w:rPr>
              <w:t xml:space="preserve">In order to establish the 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epithelial-derived ECM as an IPF</w:t>
            </w:r>
            <w:r w:rsidRPr="00AA1598">
              <w:rPr>
                <w:rFonts w:asciiTheme="minorBidi" w:hAnsiTheme="minorBidi" w:cstheme="minorBidi"/>
                <w:sz w:val="22"/>
                <w:szCs w:val="22"/>
              </w:rPr>
              <w:t xml:space="preserve"> model </w:t>
            </w:r>
            <w:r w:rsidRPr="00AA1598">
              <w:rPr>
                <w:rFonts w:asciiTheme="minorBidi" w:hAnsiTheme="minorBidi" w:cstheme="minorBidi"/>
                <w:i/>
                <w:iCs/>
                <w:sz w:val="22"/>
                <w:szCs w:val="22"/>
              </w:rPr>
              <w:t>in vitro</w:t>
            </w:r>
            <w:r w:rsidRPr="00AA1598">
              <w:rPr>
                <w:rFonts w:asciiTheme="minorBidi" w:hAnsiTheme="minorBidi" w:cstheme="minorBidi"/>
                <w:sz w:val="22"/>
                <w:szCs w:val="22"/>
              </w:rPr>
              <w:t xml:space="preserve">, we 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used BEAS2B and A549 as</w:t>
            </w:r>
            <w:r w:rsidRPr="00AA1598">
              <w:rPr>
                <w:rFonts w:asciiTheme="minorBidi" w:hAnsiTheme="minorBidi" w:cstheme="minorBidi"/>
                <w:sz w:val="22"/>
                <w:szCs w:val="22"/>
              </w:rPr>
              <w:t xml:space="preserve"> human </w:t>
            </w:r>
            <w:r w:rsidRPr="00026530">
              <w:rPr>
                <w:rFonts w:asciiTheme="minorBidi" w:hAnsiTheme="minorBidi" w:cstheme="minorBidi"/>
                <w:sz w:val="22"/>
                <w:szCs w:val="22"/>
              </w:rPr>
              <w:t>alveolar and bronchial epithelial cell lines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, respectively</w:t>
            </w:r>
            <w:r w:rsidRPr="00AA1598">
              <w:rPr>
                <w:rFonts w:asciiTheme="minorBidi" w:hAnsiTheme="minorBidi" w:cstheme="minorBidi"/>
                <w:sz w:val="22"/>
                <w:szCs w:val="22"/>
              </w:rPr>
              <w:t xml:space="preserve">. The cells were cultured at 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the </w:t>
            </w:r>
            <w:r w:rsidRPr="00AA1598">
              <w:rPr>
                <w:rFonts w:asciiTheme="minorBidi" w:hAnsiTheme="minorBidi" w:cstheme="minorBidi"/>
                <w:sz w:val="22"/>
                <w:szCs w:val="22"/>
              </w:rPr>
              <w:t>desired density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,</w:t>
            </w:r>
            <w:r w:rsidRPr="00AA1598">
              <w:rPr>
                <w:rFonts w:asciiTheme="minorBidi" w:hAnsiTheme="minorBidi" w:cstheme="minorBidi"/>
                <w:sz w:val="22"/>
                <w:szCs w:val="22"/>
              </w:rPr>
              <w:t xml:space="preserve"> and 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after 24h, they were stimulated </w:t>
            </w:r>
            <w:r w:rsidRPr="00AA1598">
              <w:rPr>
                <w:rFonts w:asciiTheme="minorBidi" w:hAnsiTheme="minorBidi" w:cstheme="minorBidi"/>
                <w:sz w:val="22"/>
                <w:szCs w:val="22"/>
              </w:rPr>
              <w:t xml:space="preserve">with TGF-β1 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for 72h </w:t>
            </w:r>
            <w:r w:rsidRPr="00AA1598">
              <w:rPr>
                <w:rFonts w:asciiTheme="minorBidi" w:hAnsiTheme="minorBidi" w:cstheme="minorBidi"/>
                <w:sz w:val="22"/>
                <w:szCs w:val="22"/>
              </w:rPr>
              <w:t xml:space="preserve">to induce the 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proliferation and ECM deposition</w:t>
            </w:r>
            <w:r w:rsidRPr="00AA1598">
              <w:rPr>
                <w:rFonts w:asciiTheme="minorBidi" w:hAnsiTheme="minorBidi" w:cstheme="minorBidi"/>
                <w:sz w:val="22"/>
                <w:szCs w:val="22"/>
              </w:rPr>
              <w:t>; furthermore,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 decellularization process was carried out to leave the intact ECM behind. The three types of lung cancer cells (</w:t>
            </w:r>
            <w:r w:rsidRPr="00026530">
              <w:rPr>
                <w:rFonts w:asciiTheme="minorBidi" w:hAnsiTheme="minorBidi" w:cstheme="minorBidi"/>
                <w:sz w:val="22"/>
                <w:szCs w:val="22"/>
              </w:rPr>
              <w:t>NCI-H358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r w:rsidRPr="00026530">
              <w:rPr>
                <w:rFonts w:asciiTheme="minorBidi" w:hAnsiTheme="minorBidi" w:cstheme="minorBidi"/>
                <w:sz w:val="22"/>
                <w:szCs w:val="22"/>
              </w:rPr>
              <w:t>NCI-H1573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, and </w:t>
            </w:r>
            <w:r w:rsidRPr="00026530">
              <w:rPr>
                <w:rFonts w:asciiTheme="minorBidi" w:hAnsiTheme="minorBidi" w:cstheme="minorBidi"/>
                <w:sz w:val="22"/>
                <w:szCs w:val="22"/>
              </w:rPr>
              <w:t>NCI-H520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) were utilized for culturing on top of the epithelial-derived ECM. The ECM ELISA, proliferation assay, and attachment assay were carried out to determine the effect of </w:t>
            </w:r>
            <w:r w:rsidRPr="00026530">
              <w:rPr>
                <w:rFonts w:asciiTheme="minorBidi" w:hAnsiTheme="minorBidi" w:cstheme="minorBidi"/>
                <w:sz w:val="22"/>
                <w:szCs w:val="22"/>
              </w:rPr>
              <w:t>epithelial-derived ECM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 on lung cancer cell behaviour.</w:t>
            </w:r>
          </w:p>
          <w:p w14:paraId="4D96B113" w14:textId="77777777" w:rsidR="00A557E4" w:rsidRDefault="00A557E4" w:rsidP="00A557E4">
            <w:pPr>
              <w:pStyle w:val="Pa12"/>
              <w:spacing w:after="240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AA1598">
              <w:rPr>
                <w:rStyle w:val="A4"/>
                <w:rFonts w:asciiTheme="minorBidi" w:hAnsiTheme="minorBidi" w:cstheme="minorBidi"/>
                <w:b/>
                <w:bCs/>
              </w:rPr>
              <w:t xml:space="preserve">Results: </w:t>
            </w:r>
            <w:r w:rsidRPr="00AA1598">
              <w:rPr>
                <w:rFonts w:asciiTheme="minorBidi" w:eastAsiaTheme="minorHAnsi" w:hAnsiTheme="minorBidi" w:cstheme="minorBidi"/>
                <w:sz w:val="22"/>
                <w:szCs w:val="22"/>
                <w:lang w:val="en-AU"/>
              </w:rPr>
              <w:t xml:space="preserve">The </w:t>
            </w:r>
            <w:r>
              <w:rPr>
                <w:rFonts w:asciiTheme="minorBidi" w:eastAsiaTheme="minorHAnsi" w:hAnsiTheme="minorBidi" w:cstheme="minorBidi"/>
                <w:sz w:val="22"/>
                <w:szCs w:val="22"/>
                <w:lang w:val="en-AU"/>
              </w:rPr>
              <w:t xml:space="preserve">ECM ELISA </w:t>
            </w:r>
            <w:r w:rsidRPr="00AA1598">
              <w:rPr>
                <w:rFonts w:asciiTheme="minorBidi" w:eastAsiaTheme="minorHAnsi" w:hAnsiTheme="minorBidi" w:cstheme="minorBidi"/>
                <w:sz w:val="22"/>
                <w:szCs w:val="22"/>
                <w:lang w:val="en-AU"/>
              </w:rPr>
              <w:t xml:space="preserve">results illustrated that </w:t>
            </w:r>
            <w:r>
              <w:rPr>
                <w:rFonts w:asciiTheme="minorBidi" w:eastAsiaTheme="minorHAnsi" w:hAnsiTheme="minorBidi" w:cstheme="minorBidi"/>
                <w:sz w:val="22"/>
                <w:szCs w:val="22"/>
                <w:lang w:val="en-AU"/>
              </w:rPr>
              <w:t xml:space="preserve">fibronectin and Col IV were increased in the ECM derived from 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BEAS2B and A549. On the other hand, the proliferation assay showed that the growth of </w:t>
            </w:r>
            <w:r w:rsidRPr="004163BC">
              <w:rPr>
                <w:rFonts w:asciiTheme="minorBidi" w:hAnsiTheme="minorBidi" w:cstheme="minorBidi"/>
                <w:sz w:val="22"/>
                <w:szCs w:val="22"/>
              </w:rPr>
              <w:t>NCI-H358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 cultured on the BEAS2B-derived ECM decreased in 48 and 72h after culture. Also, the proliferation of the cultivated </w:t>
            </w:r>
            <w:r w:rsidRPr="004163BC">
              <w:rPr>
                <w:rFonts w:asciiTheme="minorBidi" w:hAnsiTheme="minorBidi" w:cstheme="minorBidi"/>
                <w:sz w:val="22"/>
                <w:szCs w:val="22"/>
              </w:rPr>
              <w:t>NCI-H358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 (48h) and </w:t>
            </w:r>
            <w:r w:rsidRPr="004163BC">
              <w:rPr>
                <w:rFonts w:asciiTheme="minorBidi" w:hAnsiTheme="minorBidi" w:cstheme="minorBidi"/>
                <w:sz w:val="22"/>
                <w:szCs w:val="22"/>
              </w:rPr>
              <w:t>NCI-H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520 (48, 72h) declined on the A549-derived ECM. The attachment assay results were consistent with the proliferation assay.</w:t>
            </w:r>
          </w:p>
          <w:p w14:paraId="291415EC" w14:textId="1CE3D266" w:rsidR="00A557E4" w:rsidRDefault="00A557E4" w:rsidP="00A557E4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149B2">
              <w:rPr>
                <w:rStyle w:val="A4"/>
                <w:rFonts w:asciiTheme="minorBidi" w:hAnsiTheme="minorBidi" w:cstheme="minorBidi"/>
                <w:b/>
                <w:bCs/>
              </w:rPr>
              <w:t>Conclusion:</w:t>
            </w:r>
            <w:r>
              <w:rPr>
                <w:rStyle w:val="A4"/>
                <w:rFonts w:asciiTheme="minorBidi" w:hAnsiTheme="minorBidi" w:cstheme="minorBidi"/>
                <w:b/>
                <w:bCs/>
              </w:rPr>
              <w:t xml:space="preserve"> </w:t>
            </w:r>
            <w:r w:rsidRPr="00AA1598">
              <w:rPr>
                <w:rFonts w:asciiTheme="minorBidi" w:hAnsiTheme="minorBidi" w:cstheme="minorBidi"/>
                <w:sz w:val="22"/>
                <w:szCs w:val="22"/>
              </w:rPr>
              <w:t xml:space="preserve">The crucial role of 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ECM</w:t>
            </w:r>
            <w:r w:rsidRPr="00AA1598">
              <w:rPr>
                <w:rFonts w:asciiTheme="minorBidi" w:hAnsiTheme="minorBidi" w:cstheme="minorBidi"/>
                <w:sz w:val="22"/>
                <w:szCs w:val="22"/>
              </w:rPr>
              <w:t xml:space="preserve"> in 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both the IPF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,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 and lung cancer development has</w:t>
            </w:r>
            <w:r w:rsidRPr="00AA1598">
              <w:rPr>
                <w:rFonts w:asciiTheme="minorBidi" w:hAnsiTheme="minorBidi" w:cstheme="minorBidi"/>
                <w:sz w:val="22"/>
                <w:szCs w:val="22"/>
              </w:rPr>
              <w:t xml:space="preserve"> been investigated intensively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. However, the effect of ECM on lung cancer cells' behaviour has remained </w:t>
            </w:r>
            <w:r w:rsidRPr="001F06F5">
              <w:rPr>
                <w:rFonts w:asciiTheme="minorBidi" w:hAnsiTheme="minorBidi" w:cstheme="minorBidi"/>
                <w:sz w:val="22"/>
                <w:szCs w:val="22"/>
              </w:rPr>
              <w:t>ambiguous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. In this regard, we will investigate the effect of this ECM on invasiveness and related cellular signaling.</w:t>
            </w:r>
          </w:p>
          <w:p w14:paraId="033167F9" w14:textId="4564C10C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196E7BAC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</w:p>
          <w:p w14:paraId="3E8B4283" w14:textId="5FDF8450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Grant Support: </w:t>
            </w:r>
            <w:r w:rsidR="00A557E4" w:rsidRPr="00A557E4">
              <w:rPr>
                <w:rStyle w:val="A4"/>
              </w:rPr>
              <w:t>None.</w:t>
            </w:r>
          </w:p>
          <w:p w14:paraId="7F8381F0" w14:textId="77777777" w:rsidR="001564A4" w:rsidRDefault="001564A4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</w:p>
          <w:p w14:paraId="731CD908" w14:textId="77777777" w:rsidR="001564A4" w:rsidRDefault="001564A4" w:rsidP="000A28E2">
            <w:pPr>
              <w:pStyle w:val="Default"/>
            </w:pPr>
          </w:p>
          <w:p w14:paraId="34BF0A0F" w14:textId="77777777" w:rsidR="001564A4" w:rsidRPr="003E35F0" w:rsidRDefault="001564A4" w:rsidP="000A28E2">
            <w:pPr>
              <w:pStyle w:val="Default"/>
            </w:pPr>
          </w:p>
          <w:p w14:paraId="1FF1A88F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14DC37E4" w14:textId="77777777" w:rsidR="001564A4" w:rsidRPr="0050053A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50053A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Default="00E0700F" w:rsidP="001564A4"/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52B88"/>
    <w:multiLevelType w:val="hybridMultilevel"/>
    <w:tmpl w:val="0718867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450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1564A4"/>
    <w:rsid w:val="0051574E"/>
    <w:rsid w:val="008803FA"/>
    <w:rsid w:val="00A557E4"/>
    <w:rsid w:val="00B12E32"/>
    <w:rsid w:val="00E0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paragraph" w:styleId="ListParagraph">
    <w:name w:val="List Paragraph"/>
    <w:basedOn w:val="Normal"/>
    <w:uiPriority w:val="34"/>
    <w:qFormat/>
    <w:rsid w:val="00A557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6" ma:contentTypeDescription="Create a new document." ma:contentTypeScope="" ma:versionID="e2b445427de7fdc952c105e35286659b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97f37c8f8b798b54af2a8e7107b543b3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4E03BB-3B94-43A7-A10E-EF4C0ABC6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961898-40DD-42B0-A9FA-52244C88F073}">
  <ds:schemaRefs>
    <ds:schemaRef ds:uri="http://schemas.microsoft.com/office/2006/documentManagement/types"/>
    <ds:schemaRef ds:uri="9c8a2b7b-0bee-4c48-b0a6-23db8982d3bc"/>
    <ds:schemaRef ds:uri="http://schemas.microsoft.com/office/2006/metadata/properties"/>
    <ds:schemaRef ds:uri="http://schemas.microsoft.com/office/infopath/2007/PartnerControls"/>
    <ds:schemaRef ds:uri="6911e96c-4cc4-42d5-8e43-f93924cf6a05"/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http://www.w3.org/XML/1998/namespace"/>
    <ds:schemaRef ds:uri="cab52c9b-ab33-4221-8af9-54f8f2b86a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447</Words>
  <Characters>2495</Characters>
  <Application>Microsoft Office Word</Application>
  <DocSecurity>0</DocSecurity>
  <Lines>62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Samaneh Toukhanbeigli</cp:lastModifiedBy>
  <cp:revision>2</cp:revision>
  <dcterms:created xsi:type="dcterms:W3CDTF">2023-10-18T23:59:00Z</dcterms:created>
  <dcterms:modified xsi:type="dcterms:W3CDTF">2023-10-18T23:59:00Z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