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ED5B4AA" w:rsidR="001564A4" w:rsidRPr="0050053A" w:rsidRDefault="00A557E4" w:rsidP="00A557E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557E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 effect of extracellular matrix produced from epithelial cells as a model of idiopathic pulmonary fibrosis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25F98356" w14:textId="77777777" w:rsidR="00A557E4" w:rsidRPr="00A557E4" w:rsidRDefault="00A557E4" w:rsidP="00A557E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</w:pPr>
            <w:proofErr w:type="spellStart"/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Samaneh</w:t>
            </w:r>
            <w:proofErr w:type="spellEnd"/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Tokhanbigli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</w:t>
            </w:r>
            <w:bookmarkEnd w:id="0"/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Hannah W.Y Parker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Maija</w:t>
            </w:r>
            <w:proofErr w:type="spellEnd"/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R.J. Kohonen-Corish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73B55295" w14:textId="70302E64" w:rsidR="001564A4" w:rsidRPr="00413B94" w:rsidRDefault="00A557E4" w:rsidP="00A557E4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557E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Brian G.G Oliver</w:t>
            </w:r>
            <w:r w:rsidRPr="00A557E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D195611" w14:textId="77777777" w:rsidR="00A557E4" w:rsidRPr="004266A8" w:rsidRDefault="00A557E4" w:rsidP="00A557E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Theme="minorBidi" w:hAnsiTheme="minorBidi" w:cstheme="minorBidi"/>
                <w:i/>
                <w:sz w:val="22"/>
                <w:szCs w:val="22"/>
                <w:lang w:val="en-US" w:eastAsia="en-GB"/>
              </w:rPr>
            </w:pPr>
            <w:r w:rsidRPr="004266A8">
              <w:rPr>
                <w:rFonts w:asciiTheme="minorBidi" w:hAnsiTheme="minorBidi" w:cstheme="minorBidi"/>
                <w:i/>
                <w:sz w:val="22"/>
                <w:szCs w:val="22"/>
                <w:lang w:val="en-US" w:eastAsia="en-GB"/>
              </w:rPr>
              <w:t>School of Life Sciences, University of Technology Sydney, Ultimo, NSW, 2007, Australia</w:t>
            </w:r>
          </w:p>
          <w:p w14:paraId="45ED36BF" w14:textId="0007B434" w:rsidR="001564A4" w:rsidRPr="00A557E4" w:rsidRDefault="00A557E4" w:rsidP="00A557E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57E4">
              <w:rPr>
                <w:rFonts w:asciiTheme="minorBidi" w:hAnsiTheme="minorBidi" w:cstheme="minorBidi"/>
                <w:i/>
                <w:sz w:val="22"/>
                <w:szCs w:val="22"/>
                <w:lang w:val="en-US" w:eastAsia="en-GB"/>
              </w:rPr>
              <w:t>Woolcock Institute of Medical Research, Macquarie University, Sydney, New South Wales, Australia</w:t>
            </w:r>
          </w:p>
        </w:tc>
      </w:tr>
      <w:tr w:rsidR="001564A4" w:rsidRPr="0050053A" w14:paraId="6DAF615A" w14:textId="77777777" w:rsidTr="00A557E4">
        <w:trPr>
          <w:trHeight w:hRule="exact" w:val="10157"/>
          <w:jc w:val="center"/>
        </w:trPr>
        <w:tc>
          <w:tcPr>
            <w:tcW w:w="8640" w:type="dxa"/>
            <w:shd w:val="clear" w:color="auto" w:fill="auto"/>
          </w:tcPr>
          <w:p w14:paraId="454EC9F1" w14:textId="77777777" w:rsidR="00A557E4" w:rsidRPr="00AA1598" w:rsidRDefault="00A557E4" w:rsidP="00A557E4">
            <w:pPr>
              <w:spacing w:after="240"/>
              <w:jc w:val="both"/>
              <w:rPr>
                <w:rStyle w:val="A4"/>
                <w:rFonts w:asciiTheme="minorBidi" w:hAnsiTheme="minorBidi" w:cstheme="minorBidi"/>
              </w:rPr>
            </w:pPr>
            <w:r w:rsidRPr="00AA1598">
              <w:rPr>
                <w:rStyle w:val="A4"/>
                <w:rFonts w:asciiTheme="minorBidi" w:hAnsiTheme="minorBidi" w:cstheme="minorBidi"/>
                <w:b/>
                <w:bCs/>
              </w:rPr>
              <w:t xml:space="preserve">Introduction/Aim: </w:t>
            </w:r>
            <w:r w:rsidRPr="00AA1598">
              <w:rPr>
                <w:rFonts w:asciiTheme="minorBidi" w:hAnsiTheme="minorBidi" w:cstheme="minorBidi"/>
                <w:sz w:val="22"/>
                <w:szCs w:val="22"/>
                <w:lang w:val="en-US" w:eastAsia="en-GB"/>
              </w:rPr>
              <w:t>I</w:t>
            </w:r>
            <w:r w:rsidRPr="00AA1598">
              <w:rPr>
                <w:rFonts w:asciiTheme="minorBidi" w:hAnsiTheme="minorBidi" w:cstheme="minorBidi"/>
                <w:bCs/>
                <w:sz w:val="22"/>
                <w:szCs w:val="22"/>
                <w:lang w:val="en-US" w:eastAsia="en-GB"/>
              </w:rPr>
              <w:t>diopathic pulmonary fibrosis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(IPF) is non-resolving fibrosis caused by repetitive injury and subsequent accumulation of extracellular matrix (ECM)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IPF accounts for the development of 4.4% to 48% of lung cancer in patients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, and one-third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 of lung cancer patients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have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 pulmonary fibrosis. Developing lung cancer in IPF patients undergone a lung transplant is 20 times more than the general population.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T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he relentless presence of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TGF-β1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is considered the main trigger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, and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evidence suggest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 that during the inflammation, AEC2 cells are the major TFG-ß1 producers in IPF patients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0B31F6">
              <w:rPr>
                <w:rFonts w:asciiTheme="minorBidi" w:hAnsiTheme="minorBidi" w:cstheme="minorBidi"/>
                <w:sz w:val="22"/>
                <w:szCs w:val="22"/>
              </w:rPr>
              <w:t>Airway epithelial cell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0B31F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AEC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s)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may potentially exert a more direct influence on these physiological processes through the alteration of ECM composition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, which is not elucidated. T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herefore, adopting an approach to enlighten the function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epithelial-derived ECM as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an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IPF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model on lung cancer cell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 xml:space="preserve">behaviour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may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propose a therapeutic approach for lung tumours with IPF.</w:t>
            </w:r>
          </w:p>
          <w:p w14:paraId="7AA6018E" w14:textId="77777777" w:rsidR="00A557E4" w:rsidRPr="00026530" w:rsidRDefault="00A557E4" w:rsidP="00A557E4">
            <w:pPr>
              <w:pStyle w:val="Pa12"/>
              <w:spacing w:after="240"/>
              <w:jc w:val="both"/>
              <w:rPr>
                <w:rStyle w:val="A4"/>
                <w:rFonts w:asciiTheme="minorBidi" w:hAnsiTheme="minorBidi" w:cstheme="minorBidi"/>
              </w:rPr>
            </w:pPr>
            <w:r w:rsidRPr="00AA1598">
              <w:rPr>
                <w:rStyle w:val="A4"/>
                <w:rFonts w:asciiTheme="minorBidi" w:hAnsiTheme="minorBidi" w:cstheme="minorBidi"/>
                <w:b/>
                <w:bCs/>
              </w:rPr>
              <w:t xml:space="preserve">Methods: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In order to establish the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epithelial-derived ECM as an IPF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model </w:t>
            </w:r>
            <w:r w:rsidRPr="00AA1598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in vitro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, we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used BEAS2B and A549 as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human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alveolar and bronchial epithelial cell lines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, respectively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. The cells were cultured at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the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>desired density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and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after 24h, they were stimulated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with TGF-β1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for 72h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to induce the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proliferation and ECM deposition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>; furthermore,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decellularization process was carried out to leave the intact ECM behind. The three types of lung cancer cells (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NCI-H358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NCI-H1573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, and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NCI-H520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) were utilized for culturing on top of the epithelial-derived ECM. The ECM ELISA, proliferation assay, and attachment assay were carried out to determine the effect of </w:t>
            </w:r>
            <w:r w:rsidRPr="00026530">
              <w:rPr>
                <w:rFonts w:asciiTheme="minorBidi" w:hAnsiTheme="minorBidi" w:cstheme="minorBidi"/>
                <w:sz w:val="22"/>
                <w:szCs w:val="22"/>
              </w:rPr>
              <w:t>epithelial-derived ECM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on lung cancer cell behaviour.</w:t>
            </w:r>
          </w:p>
          <w:p w14:paraId="4D96B113" w14:textId="77777777" w:rsidR="00A557E4" w:rsidRDefault="00A557E4" w:rsidP="00A557E4">
            <w:pPr>
              <w:pStyle w:val="Pa12"/>
              <w:spacing w:after="24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AA1598">
              <w:rPr>
                <w:rStyle w:val="A4"/>
                <w:rFonts w:asciiTheme="minorBidi" w:hAnsiTheme="minorBidi" w:cstheme="minorBidi"/>
                <w:b/>
                <w:bCs/>
              </w:rPr>
              <w:t xml:space="preserve">Results: </w:t>
            </w:r>
            <w:r w:rsidRPr="00AA1598">
              <w:rPr>
                <w:rFonts w:asciiTheme="minorBidi" w:eastAsiaTheme="minorHAnsi" w:hAnsiTheme="minorBidi" w:cstheme="minorBidi"/>
                <w:sz w:val="22"/>
                <w:szCs w:val="22"/>
                <w:lang w:val="en-AU"/>
              </w:rPr>
              <w:t xml:space="preserve">The </w:t>
            </w:r>
            <w:r>
              <w:rPr>
                <w:rFonts w:asciiTheme="minorBidi" w:eastAsiaTheme="minorHAnsi" w:hAnsiTheme="minorBidi" w:cstheme="minorBidi"/>
                <w:sz w:val="22"/>
                <w:szCs w:val="22"/>
                <w:lang w:val="en-AU"/>
              </w:rPr>
              <w:t xml:space="preserve">ECM ELISA </w:t>
            </w:r>
            <w:r w:rsidRPr="00AA1598">
              <w:rPr>
                <w:rFonts w:asciiTheme="minorBidi" w:eastAsiaTheme="minorHAnsi" w:hAnsiTheme="minorBidi" w:cstheme="minorBidi"/>
                <w:sz w:val="22"/>
                <w:szCs w:val="22"/>
                <w:lang w:val="en-AU"/>
              </w:rPr>
              <w:t xml:space="preserve">results illustrated that </w:t>
            </w:r>
            <w:r>
              <w:rPr>
                <w:rFonts w:asciiTheme="minorBidi" w:eastAsiaTheme="minorHAnsi" w:hAnsiTheme="minorBidi" w:cstheme="minorBidi"/>
                <w:sz w:val="22"/>
                <w:szCs w:val="22"/>
                <w:lang w:val="en-AU"/>
              </w:rPr>
              <w:t xml:space="preserve">fibronectin and Col IV were increased in the ECM derived from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BEAS2B and A549. On the other hand, the proliferation assay showed that the growth of </w:t>
            </w:r>
            <w:r w:rsidRPr="004163BC">
              <w:rPr>
                <w:rFonts w:asciiTheme="minorBidi" w:hAnsiTheme="minorBidi" w:cstheme="minorBidi"/>
                <w:sz w:val="22"/>
                <w:szCs w:val="22"/>
              </w:rPr>
              <w:t>NCI-H358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cultured on the BEAS2B-derived ECM decreased in 48 and 72h after culture. Also, the proliferation of the cultivated </w:t>
            </w:r>
            <w:r w:rsidRPr="004163BC">
              <w:rPr>
                <w:rFonts w:asciiTheme="minorBidi" w:hAnsiTheme="minorBidi" w:cstheme="minorBidi"/>
                <w:sz w:val="22"/>
                <w:szCs w:val="22"/>
              </w:rPr>
              <w:t>NCI-H358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(48h) and </w:t>
            </w:r>
            <w:r w:rsidRPr="004163BC">
              <w:rPr>
                <w:rFonts w:asciiTheme="minorBidi" w:hAnsiTheme="minorBidi" w:cstheme="minorBidi"/>
                <w:sz w:val="22"/>
                <w:szCs w:val="22"/>
              </w:rPr>
              <w:t>NCI-H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520 (48, 72h) declined on the A549-derived ECM. The attachment assay results were consistent with the proliferation assay.</w:t>
            </w:r>
          </w:p>
          <w:p w14:paraId="291415EC" w14:textId="1CE3D266" w:rsidR="00A557E4" w:rsidRDefault="00A557E4" w:rsidP="00A557E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149B2">
              <w:rPr>
                <w:rStyle w:val="A4"/>
                <w:rFonts w:asciiTheme="minorBidi" w:hAnsiTheme="minorBidi" w:cstheme="minorBidi"/>
                <w:b/>
                <w:bCs/>
              </w:rPr>
              <w:t>Conclusion:</w:t>
            </w:r>
            <w:r>
              <w:rPr>
                <w:rStyle w:val="A4"/>
                <w:rFonts w:asciiTheme="minorBidi" w:hAnsiTheme="minorBidi" w:cstheme="minorBidi"/>
                <w:b/>
                <w:bCs/>
              </w:rPr>
              <w:t xml:space="preserve"> 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The crucial role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ECM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in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both the IPF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and lung cancer development has</w:t>
            </w:r>
            <w:r w:rsidRPr="00AA1598">
              <w:rPr>
                <w:rFonts w:asciiTheme="minorBidi" w:hAnsiTheme="minorBidi" w:cstheme="minorBidi"/>
                <w:sz w:val="22"/>
                <w:szCs w:val="22"/>
              </w:rPr>
              <w:t xml:space="preserve"> been investigated intensively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. However, the effect of ECM on lung cancer cells' behaviour has remained </w:t>
            </w:r>
            <w:r w:rsidRPr="001F06F5">
              <w:rPr>
                <w:rFonts w:asciiTheme="minorBidi" w:hAnsiTheme="minorBidi" w:cstheme="minorBidi"/>
                <w:sz w:val="22"/>
                <w:szCs w:val="22"/>
              </w:rPr>
              <w:t>ambiguous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 In this regard, we will investigate the effect of this ECM on invasiveness and related cellular signaling.</w:t>
            </w:r>
          </w:p>
          <w:p w14:paraId="033167F9" w14:textId="4564C10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5FDF8450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A557E4" w:rsidRPr="00A557E4">
              <w:rPr>
                <w:rStyle w:val="A4"/>
              </w:rPr>
              <w:t>None.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B88"/>
    <w:multiLevelType w:val="hybridMultilevel"/>
    <w:tmpl w:val="071886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5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8803FA"/>
    <w:rsid w:val="00A557E4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55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2495</Characters>
  <Application>Microsoft Office Word</Application>
  <DocSecurity>0</DocSecurity>
  <Lines>62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Samaneh Toukhanbeigli</cp:lastModifiedBy>
  <cp:revision>2</cp:revision>
  <dcterms:created xsi:type="dcterms:W3CDTF">2023-10-18T23:59:00Z</dcterms:created>
  <dcterms:modified xsi:type="dcterms:W3CDTF">2023-10-18T23:59:00Z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