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74"/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2"/>
      </w:tblGrid>
      <w:tr w:rsidR="00A5038C" w:rsidRPr="0050053A" w14:paraId="66EE2F47" w14:textId="77777777" w:rsidTr="00682EE9">
        <w:trPr>
          <w:trHeight w:val="569"/>
        </w:trPr>
        <w:tc>
          <w:tcPr>
            <w:tcW w:w="8532" w:type="dxa"/>
            <w:shd w:val="clear" w:color="auto" w:fill="auto"/>
          </w:tcPr>
          <w:p w14:paraId="47536FA0" w14:textId="3D038F90" w:rsidR="00A5038C" w:rsidRPr="004F1C20" w:rsidRDefault="00A5038C" w:rsidP="00682EE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4F1C20">
              <w:rPr>
                <w:rFonts w:ascii="Arial" w:hAnsi="Arial" w:cs="Arial"/>
                <w:b/>
                <w:bCs/>
                <w:sz w:val="22"/>
                <w:szCs w:val="22"/>
                <w:lang w:val="en-AU" w:eastAsia="zh-CN"/>
              </w:rPr>
              <w:t>Observational prospective study of SARS-CoV-2 infection outcomes in adults with cystic fibrosis attending a large centre in</w:t>
            </w:r>
            <w:r w:rsidR="00CF289E" w:rsidRPr="004F1C20">
              <w:rPr>
                <w:rFonts w:ascii="Arial" w:hAnsi="Arial" w:cs="Arial"/>
                <w:b/>
                <w:bCs/>
                <w:sz w:val="22"/>
                <w:szCs w:val="22"/>
                <w:lang w:val="en-AU" w:eastAsia="zh-CN"/>
              </w:rPr>
              <w:t xml:space="preserve"> </w:t>
            </w:r>
            <w:r w:rsidRPr="004F1C20">
              <w:rPr>
                <w:rFonts w:ascii="Arial" w:hAnsi="Arial" w:cs="Arial"/>
                <w:b/>
                <w:bCs/>
                <w:sz w:val="22"/>
                <w:szCs w:val="22"/>
                <w:lang w:val="en-AU" w:eastAsia="zh-CN"/>
              </w:rPr>
              <w:t xml:space="preserve">Australia. </w:t>
            </w:r>
          </w:p>
        </w:tc>
      </w:tr>
      <w:tr w:rsidR="00A5038C" w:rsidRPr="00415B53" w14:paraId="2F6669AC" w14:textId="77777777" w:rsidTr="00682EE9">
        <w:trPr>
          <w:trHeight w:val="569"/>
        </w:trPr>
        <w:tc>
          <w:tcPr>
            <w:tcW w:w="8532" w:type="dxa"/>
            <w:shd w:val="clear" w:color="auto" w:fill="auto"/>
          </w:tcPr>
          <w:p w14:paraId="5A98B50C" w14:textId="4AC6A571" w:rsidR="00A5038C" w:rsidRPr="004F1C20" w:rsidRDefault="00A5038C" w:rsidP="00682EE9">
            <w:pPr>
              <w:rPr>
                <w:rFonts w:ascii="Arial" w:hAnsi="Arial" w:cs="Arial"/>
                <w:sz w:val="22"/>
                <w:szCs w:val="22"/>
              </w:rPr>
            </w:pPr>
            <w:r w:rsidRPr="004F1C20">
              <w:rPr>
                <w:rFonts w:ascii="Arial" w:hAnsi="Arial" w:cs="Arial"/>
                <w:sz w:val="22"/>
                <w:szCs w:val="22"/>
              </w:rPr>
              <w:t>Cameron S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F1C20">
              <w:rPr>
                <w:rFonts w:ascii="Arial" w:hAnsi="Arial" w:cs="Arial"/>
                <w:sz w:val="22"/>
                <w:szCs w:val="22"/>
              </w:rPr>
              <w:t>, Lacey A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F1C2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759E7" w:rsidRPr="004F1C20">
              <w:rPr>
                <w:rFonts w:ascii="Arial" w:hAnsi="Arial" w:cs="Arial"/>
                <w:sz w:val="22"/>
                <w:szCs w:val="22"/>
              </w:rPr>
              <w:t>Pelecanos</w:t>
            </w:r>
            <w:proofErr w:type="spellEnd"/>
            <w:r w:rsidR="00B759E7" w:rsidRPr="004F1C20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759E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F1C20">
              <w:rPr>
                <w:rFonts w:ascii="Arial" w:hAnsi="Arial" w:cs="Arial"/>
                <w:sz w:val="22"/>
                <w:szCs w:val="22"/>
              </w:rPr>
              <w:t>Henderson D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F1C20">
              <w:rPr>
                <w:rFonts w:ascii="Arial" w:hAnsi="Arial" w:cs="Arial"/>
                <w:sz w:val="22"/>
                <w:szCs w:val="22"/>
              </w:rPr>
              <w:t>, Smith DJ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44EA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4F1C20">
              <w:rPr>
                <w:rFonts w:ascii="Arial" w:hAnsi="Arial" w:cs="Arial"/>
                <w:sz w:val="22"/>
                <w:szCs w:val="22"/>
              </w:rPr>
              <w:t>, Masel P</w:t>
            </w:r>
            <w:r w:rsidR="00F44EA4" w:rsidRPr="00F44EA4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F44EA4">
              <w:rPr>
                <w:rFonts w:ascii="Arial" w:hAnsi="Arial" w:cs="Arial"/>
                <w:sz w:val="22"/>
                <w:szCs w:val="22"/>
              </w:rPr>
              <w:t>.</w:t>
            </w:r>
            <w:r w:rsidR="00F44EA4" w:rsidRPr="00F44EA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F1C20">
              <w:rPr>
                <w:rFonts w:ascii="Arial" w:hAnsi="Arial" w:cs="Arial"/>
                <w:sz w:val="22"/>
                <w:szCs w:val="22"/>
              </w:rPr>
              <w:t>, Hartel G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4F1C20">
              <w:rPr>
                <w:rFonts w:ascii="Arial" w:hAnsi="Arial" w:cs="Arial"/>
                <w:sz w:val="22"/>
                <w:szCs w:val="22"/>
              </w:rPr>
              <w:t>, McMahon T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F1C20">
              <w:rPr>
                <w:rFonts w:ascii="Arial" w:hAnsi="Arial" w:cs="Arial"/>
                <w:sz w:val="22"/>
                <w:szCs w:val="22"/>
              </w:rPr>
              <w:t>, Moore V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C03DB" w:rsidRPr="004F1C2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F1C20">
              <w:rPr>
                <w:rFonts w:ascii="Arial" w:hAnsi="Arial" w:cs="Arial"/>
                <w:sz w:val="22"/>
                <w:szCs w:val="22"/>
              </w:rPr>
              <w:t>Reid</w:t>
            </w:r>
            <w:r w:rsidR="008607C3">
              <w:rPr>
                <w:rFonts w:ascii="Arial" w:hAnsi="Arial" w:cs="Arial"/>
                <w:sz w:val="22"/>
                <w:szCs w:val="22"/>
              </w:rPr>
              <w:t xml:space="preserve"> DW</w:t>
            </w:r>
            <w:r w:rsidR="00F44EA4" w:rsidRPr="008607C3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F44EA4">
              <w:rPr>
                <w:rFonts w:ascii="Arial" w:hAnsi="Arial" w:cs="Arial"/>
                <w:sz w:val="22"/>
                <w:szCs w:val="22"/>
                <w:vertAlign w:val="superscript"/>
              </w:rPr>
              <w:t>,2,</w:t>
            </w:r>
            <w:r w:rsidR="00F44EA4" w:rsidRPr="00F44EA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4F1C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5038C" w:rsidRPr="0050053A" w14:paraId="290FD783" w14:textId="77777777" w:rsidTr="00682EE9">
        <w:trPr>
          <w:trHeight w:val="157"/>
        </w:trPr>
        <w:tc>
          <w:tcPr>
            <w:tcW w:w="8532" w:type="dxa"/>
            <w:shd w:val="clear" w:color="auto" w:fill="auto"/>
          </w:tcPr>
          <w:p w14:paraId="06F0BCEF" w14:textId="77777777" w:rsidR="00A5038C" w:rsidRPr="004F1C20" w:rsidRDefault="00A5038C" w:rsidP="00682EE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1 </w:t>
            </w:r>
            <w:r w:rsidRPr="004F1C2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Adult CF Centre,</w:t>
            </w:r>
            <w:r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Pr="004F1C2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Prince Charles Hospital, Brisbane.</w:t>
            </w:r>
          </w:p>
          <w:p w14:paraId="5C8CE14F" w14:textId="24F2C5DE" w:rsidR="00A5038C" w:rsidRPr="004F1C20" w:rsidRDefault="00A5038C" w:rsidP="00682EE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School of Medicine, University of Queensland, Brisbane</w:t>
            </w:r>
          </w:p>
          <w:p w14:paraId="23AC6E4A" w14:textId="655C6746" w:rsidR="00A5038C" w:rsidRPr="004F1C20" w:rsidRDefault="00A5038C" w:rsidP="00682EE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F1C2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F44EA4" w:rsidRPr="004F1C2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Lung inflammation and infection laboratory, QIMR Berghofer Medical Research Institute, Brisbane </w:t>
            </w:r>
            <w:r w:rsidR="00F44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A5038C" w:rsidRPr="0050053A" w14:paraId="7AB92112" w14:textId="77777777" w:rsidTr="00682EE9">
        <w:trPr>
          <w:trHeight w:hRule="exact" w:val="10223"/>
        </w:trPr>
        <w:tc>
          <w:tcPr>
            <w:tcW w:w="8532" w:type="dxa"/>
            <w:shd w:val="clear" w:color="auto" w:fill="auto"/>
          </w:tcPr>
          <w:p w14:paraId="5FCB9321" w14:textId="77777777" w:rsidR="00A5038C" w:rsidRPr="004F1C20" w:rsidRDefault="00A5038C" w:rsidP="00682EE9">
            <w:pPr>
              <w:pStyle w:val="Pa12"/>
              <w:rPr>
                <w:rStyle w:val="A4"/>
              </w:rPr>
            </w:pPr>
            <w:r w:rsidRPr="004F1C20">
              <w:rPr>
                <w:rStyle w:val="A4"/>
                <w:b/>
                <w:bCs/>
              </w:rPr>
              <w:t xml:space="preserve">Introduction/Aim: </w:t>
            </w:r>
          </w:p>
          <w:p w14:paraId="1FD85153" w14:textId="49F612A6" w:rsidR="00A5038C" w:rsidRPr="004F1C20" w:rsidRDefault="003A7E67" w:rsidP="00682EE9">
            <w:pPr>
              <w:pStyle w:val="Pa12"/>
              <w:jc w:val="both"/>
              <w:rPr>
                <w:sz w:val="22"/>
                <w:szCs w:val="22"/>
                <w:lang w:val="en-GB"/>
              </w:rPr>
            </w:pPr>
            <w:r w:rsidRPr="004F1C20">
              <w:rPr>
                <w:sz w:val="22"/>
                <w:szCs w:val="22"/>
                <w:lang w:val="en-GB"/>
              </w:rPr>
              <w:t>Despite chronic lung diseases being a risk factor for severe SARS-CoV-2 infection, r</w:t>
            </w:r>
            <w:r w:rsidR="00A5038C" w:rsidRPr="004F1C20">
              <w:rPr>
                <w:sz w:val="22"/>
                <w:szCs w:val="22"/>
                <w:lang w:val="en-GB"/>
              </w:rPr>
              <w:t>eports to date</w:t>
            </w:r>
            <w:r w:rsidRPr="004F1C20">
              <w:rPr>
                <w:sz w:val="22"/>
                <w:szCs w:val="22"/>
                <w:lang w:val="en-GB"/>
              </w:rPr>
              <w:t xml:space="preserve"> on </w:t>
            </w:r>
            <w:r w:rsidR="00A5038C" w:rsidRPr="004F1C20">
              <w:rPr>
                <w:sz w:val="22"/>
                <w:szCs w:val="22"/>
                <w:lang w:val="en-GB"/>
              </w:rPr>
              <w:t>people with cystic fibrosis (</w:t>
            </w:r>
            <w:proofErr w:type="spellStart"/>
            <w:r w:rsidR="00A5038C" w:rsidRPr="004F1C20">
              <w:rPr>
                <w:sz w:val="22"/>
                <w:szCs w:val="22"/>
                <w:lang w:val="en-GB"/>
              </w:rPr>
              <w:t>pwCF</w:t>
            </w:r>
            <w:proofErr w:type="spellEnd"/>
            <w:r w:rsidR="00A5038C" w:rsidRPr="004F1C20">
              <w:rPr>
                <w:sz w:val="22"/>
                <w:szCs w:val="22"/>
                <w:lang w:val="en-GB"/>
              </w:rPr>
              <w:t xml:space="preserve">) do not suggest worse outcomes compared to the general population. We report our experience of outcomes of SARS-CoV-2 infection in </w:t>
            </w:r>
            <w:proofErr w:type="spellStart"/>
            <w:r w:rsidR="00A5038C" w:rsidRPr="004F1C20">
              <w:rPr>
                <w:sz w:val="22"/>
                <w:szCs w:val="22"/>
                <w:lang w:val="en-GB"/>
              </w:rPr>
              <w:t>pwCF</w:t>
            </w:r>
            <w:proofErr w:type="spellEnd"/>
            <w:r w:rsidR="00A5038C" w:rsidRPr="004F1C20">
              <w:rPr>
                <w:sz w:val="22"/>
                <w:szCs w:val="22"/>
                <w:lang w:val="en-GB"/>
              </w:rPr>
              <w:t xml:space="preserve"> attending a </w:t>
            </w:r>
            <w:r w:rsidR="009A008A" w:rsidRPr="004F1C20">
              <w:rPr>
                <w:sz w:val="22"/>
                <w:szCs w:val="22"/>
                <w:lang w:val="en-GB"/>
              </w:rPr>
              <w:t>major</w:t>
            </w:r>
            <w:r w:rsidR="00A5038C" w:rsidRPr="004F1C20">
              <w:rPr>
                <w:sz w:val="22"/>
                <w:szCs w:val="22"/>
                <w:lang w:val="en-GB"/>
              </w:rPr>
              <w:t xml:space="preserve"> adult </w:t>
            </w:r>
            <w:r w:rsidR="009A008A" w:rsidRPr="004F1C20">
              <w:rPr>
                <w:sz w:val="22"/>
                <w:szCs w:val="22"/>
                <w:lang w:val="en-GB"/>
              </w:rPr>
              <w:t>cystic fibrosis (CF)</w:t>
            </w:r>
            <w:r w:rsidR="00A5038C" w:rsidRPr="004F1C20">
              <w:rPr>
                <w:sz w:val="22"/>
                <w:szCs w:val="22"/>
                <w:lang w:val="en-GB"/>
              </w:rPr>
              <w:t xml:space="preserve"> centre in Brisbane, Queensland, Australia in the setting of strict national lockdowns and closed inter-state borders, which “bought time” for vaccination of most of the CF community in Queensland. </w:t>
            </w:r>
          </w:p>
          <w:p w14:paraId="48B4AC0D" w14:textId="77777777" w:rsidR="00A5038C" w:rsidRPr="004F1C20" w:rsidRDefault="00A5038C" w:rsidP="00682EE9">
            <w:pPr>
              <w:pStyle w:val="Pa12"/>
              <w:jc w:val="both"/>
              <w:rPr>
                <w:rStyle w:val="A4"/>
                <w:bCs/>
              </w:rPr>
            </w:pPr>
          </w:p>
          <w:p w14:paraId="563952D3" w14:textId="4E5FEB09" w:rsidR="00A5038C" w:rsidRPr="004F1C20" w:rsidRDefault="00A5038C" w:rsidP="00682EE9">
            <w:pPr>
              <w:pStyle w:val="Pa12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1C20">
              <w:rPr>
                <w:rStyle w:val="A4"/>
                <w:b/>
                <w:bCs/>
              </w:rPr>
              <w:t xml:space="preserve">Methods: </w:t>
            </w:r>
            <w:r w:rsidRPr="004F1C20">
              <w:rPr>
                <w:color w:val="000000"/>
                <w:sz w:val="22"/>
                <w:szCs w:val="22"/>
                <w:lang w:val="en-GB"/>
              </w:rPr>
              <w:t>A prospective observational study of the</w:t>
            </w:r>
            <w:r w:rsidR="00657114" w:rsidRPr="004F1C20">
              <w:rPr>
                <w:color w:val="000000"/>
                <w:sz w:val="22"/>
                <w:szCs w:val="22"/>
                <w:lang w:val="en-GB"/>
              </w:rPr>
              <w:t xml:space="preserve"> first </w:t>
            </w:r>
            <w:r w:rsidR="000603B9" w:rsidRPr="004F1C20">
              <w:rPr>
                <w:color w:val="000000"/>
                <w:sz w:val="22"/>
                <w:szCs w:val="22"/>
                <w:lang w:val="en-GB"/>
              </w:rPr>
              <w:t>96</w:t>
            </w:r>
            <w:r w:rsidR="00657114" w:rsidRPr="004F1C20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57114" w:rsidRPr="004F1C20">
              <w:rPr>
                <w:color w:val="000000"/>
                <w:sz w:val="22"/>
                <w:szCs w:val="22"/>
                <w:lang w:val="en-GB"/>
              </w:rPr>
              <w:t>pwCF</w:t>
            </w:r>
            <w:proofErr w:type="spellEnd"/>
            <w:r w:rsidR="00657114" w:rsidRPr="004F1C20">
              <w:rPr>
                <w:color w:val="000000"/>
                <w:sz w:val="22"/>
                <w:szCs w:val="22"/>
                <w:lang w:val="en-GB"/>
              </w:rPr>
              <w:t xml:space="preserve"> infected with</w:t>
            </w:r>
            <w:r w:rsidRPr="004F1C20">
              <w:rPr>
                <w:color w:val="000000"/>
                <w:sz w:val="22"/>
                <w:szCs w:val="22"/>
                <w:lang w:val="en-GB"/>
              </w:rPr>
              <w:t xml:space="preserve"> SARS-CoV-2 in Queensland, Australia </w:t>
            </w:r>
            <w:r w:rsidR="00657114" w:rsidRPr="004F1C20">
              <w:rPr>
                <w:color w:val="000000"/>
                <w:sz w:val="22"/>
                <w:szCs w:val="22"/>
                <w:lang w:val="en-GB"/>
              </w:rPr>
              <w:t xml:space="preserve">who </w:t>
            </w:r>
            <w:r w:rsidRPr="004F1C20">
              <w:rPr>
                <w:color w:val="000000"/>
                <w:sz w:val="22"/>
                <w:szCs w:val="22"/>
                <w:lang w:val="en-GB"/>
              </w:rPr>
              <w:t>attend</w:t>
            </w:r>
            <w:r w:rsidR="00657114" w:rsidRPr="004F1C20">
              <w:rPr>
                <w:color w:val="000000"/>
                <w:sz w:val="22"/>
                <w:szCs w:val="22"/>
                <w:lang w:val="en-GB"/>
              </w:rPr>
              <w:t>ed</w:t>
            </w:r>
            <w:r w:rsidRPr="004F1C20">
              <w:rPr>
                <w:color w:val="000000"/>
                <w:sz w:val="22"/>
                <w:szCs w:val="22"/>
                <w:lang w:val="en-GB"/>
              </w:rPr>
              <w:t xml:space="preserve"> the Prince Charles Hospital CF centre (n=328 adults). Incidence of infection was followed from 6</w:t>
            </w:r>
            <w:r w:rsidRPr="004F1C20">
              <w:rPr>
                <w:color w:val="000000"/>
                <w:sz w:val="22"/>
                <w:szCs w:val="22"/>
                <w:vertAlign w:val="superscript"/>
                <w:lang w:val="en-GB"/>
              </w:rPr>
              <w:t>th</w:t>
            </w:r>
            <w:r w:rsidRPr="004F1C20">
              <w:rPr>
                <w:color w:val="000000"/>
                <w:sz w:val="22"/>
                <w:szCs w:val="22"/>
                <w:lang w:val="en-GB"/>
              </w:rPr>
              <w:t xml:space="preserve"> February 2020 when the first case of SARS-CoV-2 was identified in Queensland</w:t>
            </w:r>
            <w:r w:rsidR="00657114" w:rsidRPr="004F1C20">
              <w:rPr>
                <w:color w:val="000000"/>
                <w:sz w:val="22"/>
                <w:szCs w:val="22"/>
                <w:lang w:val="en-GB"/>
              </w:rPr>
              <w:t xml:space="preserve"> until 17/3/2023</w:t>
            </w:r>
            <w:r w:rsidRPr="004F1C20">
              <w:rPr>
                <w:color w:val="000000"/>
                <w:sz w:val="22"/>
                <w:szCs w:val="22"/>
                <w:lang w:val="en-GB"/>
              </w:rPr>
              <w:t xml:space="preserve">. </w:t>
            </w:r>
          </w:p>
          <w:p w14:paraId="18831258" w14:textId="77777777" w:rsidR="00A5038C" w:rsidRPr="004F1C20" w:rsidRDefault="00A5038C" w:rsidP="00682EE9">
            <w:pPr>
              <w:pStyle w:val="Pa12"/>
              <w:rPr>
                <w:rStyle w:val="A4"/>
                <w:b/>
                <w:bCs/>
              </w:rPr>
            </w:pPr>
          </w:p>
          <w:p w14:paraId="3ED48448" w14:textId="2148B797" w:rsidR="00A5038C" w:rsidRPr="004F1C20" w:rsidRDefault="00A5038C" w:rsidP="00F44EA4">
            <w:pPr>
              <w:pStyle w:val="Pa12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4F1C20">
              <w:rPr>
                <w:rStyle w:val="A4"/>
                <w:b/>
                <w:bCs/>
              </w:rPr>
              <w:t xml:space="preserve">Results: </w:t>
            </w:r>
            <w:r w:rsidRPr="004F1C20">
              <w:rPr>
                <w:color w:val="000000"/>
                <w:sz w:val="22"/>
                <w:szCs w:val="22"/>
                <w:lang w:val="en-GB"/>
              </w:rPr>
              <w:t xml:space="preserve">There were no deaths in </w:t>
            </w:r>
            <w:proofErr w:type="spellStart"/>
            <w:r w:rsidRPr="004F1C20">
              <w:rPr>
                <w:color w:val="000000"/>
                <w:sz w:val="22"/>
                <w:szCs w:val="22"/>
                <w:lang w:val="en-GB"/>
              </w:rPr>
              <w:t>pwCF</w:t>
            </w:r>
            <w:proofErr w:type="spellEnd"/>
            <w:r w:rsidRPr="004F1C20">
              <w:rPr>
                <w:color w:val="000000"/>
                <w:sz w:val="22"/>
                <w:szCs w:val="22"/>
                <w:lang w:val="en-GB"/>
              </w:rPr>
              <w:t xml:space="preserve">. </w:t>
            </w:r>
            <w:r w:rsidR="00657114" w:rsidRPr="004F1C20">
              <w:rPr>
                <w:color w:val="000000"/>
                <w:sz w:val="22"/>
                <w:szCs w:val="22"/>
                <w:lang w:val="en-GB"/>
              </w:rPr>
              <w:t xml:space="preserve">We documented a total of </w:t>
            </w:r>
            <w:r w:rsidR="00FC03DB" w:rsidRPr="004F1C20">
              <w:rPr>
                <w:color w:val="000000"/>
                <w:sz w:val="22"/>
                <w:szCs w:val="22"/>
                <w:lang w:val="en-GB"/>
              </w:rPr>
              <w:t>96</w:t>
            </w:r>
            <w:r w:rsidR="00657114" w:rsidRPr="004F1C20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57114" w:rsidRPr="004F1C20">
              <w:rPr>
                <w:color w:val="000000"/>
                <w:sz w:val="22"/>
                <w:szCs w:val="22"/>
                <w:lang w:val="en-GB"/>
              </w:rPr>
              <w:t>pwCF</w:t>
            </w:r>
            <w:proofErr w:type="spellEnd"/>
            <w:r w:rsidR="00657114" w:rsidRPr="004F1C20">
              <w:rPr>
                <w:color w:val="000000"/>
                <w:sz w:val="22"/>
                <w:szCs w:val="22"/>
                <w:lang w:val="en-GB"/>
              </w:rPr>
              <w:t xml:space="preserve"> with confirmed SARS-CoV-2 between 13/12/2021 and 17/3/2023. </w:t>
            </w:r>
            <w:r w:rsidR="00FC03DB" w:rsidRPr="004F1C20">
              <w:rPr>
                <w:color w:val="000000"/>
                <w:sz w:val="22"/>
                <w:szCs w:val="22"/>
                <w:lang w:val="en-GB"/>
              </w:rPr>
              <w:t xml:space="preserve">90% of patients were vaccinated with at least one dose of Covid 19 vaccine prior to infection. 19% of patients required hospital admission to treat a pulmonary exacerbation of cystic fibrosis secondary </w:t>
            </w:r>
            <w:r w:rsidR="00FC03DB" w:rsidRPr="008607C3">
              <w:rPr>
                <w:sz w:val="22"/>
                <w:szCs w:val="22"/>
                <w:lang w:val="en-GB"/>
              </w:rPr>
              <w:t xml:space="preserve">to </w:t>
            </w:r>
            <w:r w:rsidR="008607C3">
              <w:rPr>
                <w:sz w:val="22"/>
                <w:szCs w:val="22"/>
                <w:lang w:val="en-GB"/>
              </w:rPr>
              <w:t xml:space="preserve">SARS-CoV-2 </w:t>
            </w:r>
            <w:r w:rsidR="00FC03DB" w:rsidRPr="004F1C20">
              <w:rPr>
                <w:color w:val="000000"/>
                <w:sz w:val="22"/>
                <w:szCs w:val="22"/>
                <w:lang w:val="en-GB"/>
              </w:rPr>
              <w:t xml:space="preserve">infection. Only 6% received a covid 19 specific anti-viral or monoclonal antibody in their treatment, 45% received inhaled corticosteroids </w:t>
            </w:r>
            <w:r w:rsidR="002D1895" w:rsidRPr="004F1C20">
              <w:rPr>
                <w:color w:val="000000"/>
                <w:sz w:val="22"/>
                <w:szCs w:val="22"/>
                <w:lang w:val="en-GB"/>
              </w:rPr>
              <w:t xml:space="preserve">(ICS) </w:t>
            </w:r>
            <w:r w:rsidR="00FC03DB" w:rsidRPr="004F1C20">
              <w:rPr>
                <w:color w:val="000000"/>
                <w:sz w:val="22"/>
                <w:szCs w:val="22"/>
                <w:lang w:val="en-GB"/>
              </w:rPr>
              <w:t xml:space="preserve">and 1% received oral steroids. </w:t>
            </w:r>
          </w:p>
          <w:p w14:paraId="6504339F" w14:textId="52EDB219" w:rsidR="00FC03DB" w:rsidRPr="004F1C20" w:rsidRDefault="00FC03DB" w:rsidP="00114B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C20">
              <w:rPr>
                <w:rFonts w:ascii="Arial" w:hAnsi="Arial" w:cs="Arial"/>
                <w:sz w:val="22"/>
                <w:szCs w:val="22"/>
              </w:rPr>
              <w:t xml:space="preserve">There was evidence of a statistically significant association (p=0.050) between ICS treatment and </w:t>
            </w:r>
            <w:r w:rsidR="00987A19" w:rsidRPr="004F1C20">
              <w:rPr>
                <w:rFonts w:ascii="Arial" w:hAnsi="Arial" w:cs="Arial"/>
                <w:sz w:val="22"/>
                <w:szCs w:val="22"/>
              </w:rPr>
              <w:t>improvement</w:t>
            </w:r>
            <w:r w:rsidRPr="004F1C20">
              <w:rPr>
                <w:rFonts w:ascii="Arial" w:hAnsi="Arial" w:cs="Arial"/>
                <w:sz w:val="22"/>
                <w:szCs w:val="22"/>
              </w:rPr>
              <w:t xml:space="preserve"> in lung function </w:t>
            </w:r>
            <w:r w:rsidR="000D0BCD" w:rsidRPr="004F1C20">
              <w:rPr>
                <w:rFonts w:ascii="Arial" w:hAnsi="Arial" w:cs="Arial"/>
                <w:sz w:val="22"/>
                <w:szCs w:val="22"/>
              </w:rPr>
              <w:t>pre to post</w:t>
            </w:r>
            <w:r w:rsidR="008607C3">
              <w:rPr>
                <w:rFonts w:ascii="Arial" w:hAnsi="Arial" w:cs="Arial"/>
                <w:sz w:val="22"/>
                <w:szCs w:val="22"/>
              </w:rPr>
              <w:t xml:space="preserve"> SARS-CoV-2 </w:t>
            </w:r>
            <w:r w:rsidR="002D1895" w:rsidRPr="004F1C20">
              <w:rPr>
                <w:rFonts w:ascii="Arial" w:hAnsi="Arial" w:cs="Arial"/>
                <w:sz w:val="22"/>
                <w:szCs w:val="22"/>
              </w:rPr>
              <w:t>infection,</w:t>
            </w:r>
            <w:r w:rsidRPr="004F1C20">
              <w:rPr>
                <w:rFonts w:ascii="Arial" w:hAnsi="Arial" w:cs="Arial"/>
                <w:sz w:val="22"/>
                <w:szCs w:val="22"/>
              </w:rPr>
              <w:t xml:space="preserve"> where patient’s lung function change from pre to post was 0.137 L (95% CI 0 – 0.274) higher compared to those who did not receive ICS</w:t>
            </w:r>
            <w:r w:rsidR="002D1895" w:rsidRPr="004F1C20">
              <w:rPr>
                <w:rFonts w:ascii="Arial" w:hAnsi="Arial" w:cs="Arial"/>
                <w:sz w:val="22"/>
                <w:szCs w:val="22"/>
              </w:rPr>
              <w:t xml:space="preserve"> therap</w:t>
            </w:r>
            <w:r w:rsidR="008607C3">
              <w:rPr>
                <w:rFonts w:ascii="Arial" w:hAnsi="Arial" w:cs="Arial"/>
                <w:sz w:val="22"/>
                <w:szCs w:val="22"/>
              </w:rPr>
              <w:t>y.</w:t>
            </w:r>
            <w:r w:rsidR="002D1895" w:rsidRPr="004F1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07C3">
              <w:rPr>
                <w:rFonts w:ascii="Arial" w:hAnsi="Arial" w:cs="Arial"/>
                <w:sz w:val="22"/>
                <w:szCs w:val="22"/>
              </w:rPr>
              <w:t xml:space="preserve">However, this effect was dependent upon their pre infection lung function, with those with higher FEV1 prior to infection </w:t>
            </w:r>
            <w:r w:rsidR="00855BFF">
              <w:rPr>
                <w:rFonts w:ascii="Arial" w:hAnsi="Arial" w:cs="Arial"/>
                <w:sz w:val="22"/>
                <w:szCs w:val="22"/>
              </w:rPr>
              <w:t xml:space="preserve">demonstrating benefit over those with lower FEV1. </w:t>
            </w:r>
          </w:p>
          <w:p w14:paraId="6EB99C79" w14:textId="77777777" w:rsidR="00657114" w:rsidRPr="004F1C20" w:rsidRDefault="00657114" w:rsidP="00114B22">
            <w:pPr>
              <w:pStyle w:val="Pa12"/>
              <w:jc w:val="both"/>
              <w:rPr>
                <w:rStyle w:val="A4"/>
                <w:rFonts w:asciiTheme="minorHAnsi" w:eastAsiaTheme="minorHAnsi" w:hAnsiTheme="minorHAnsi" w:cstheme="minorBidi"/>
                <w:b/>
                <w:bCs/>
                <w:kern w:val="2"/>
                <w:lang w:val="en-GB" w:eastAsia="en-US"/>
                <w14:ligatures w14:val="standardContextual"/>
              </w:rPr>
            </w:pPr>
          </w:p>
          <w:p w14:paraId="3024D0FF" w14:textId="7DAE6DB3" w:rsidR="00A5038C" w:rsidRPr="004F1C20" w:rsidRDefault="00A5038C" w:rsidP="00114B22">
            <w:pPr>
              <w:pStyle w:val="Pa12"/>
              <w:jc w:val="both"/>
              <w:rPr>
                <w:rStyle w:val="A4"/>
              </w:rPr>
            </w:pPr>
            <w:r w:rsidRPr="004F1C20">
              <w:rPr>
                <w:rStyle w:val="A4"/>
                <w:b/>
                <w:bCs/>
              </w:rPr>
              <w:t xml:space="preserve">Conclusion: </w:t>
            </w:r>
            <w:proofErr w:type="spellStart"/>
            <w:r w:rsidR="002D1895" w:rsidRPr="004F1C20">
              <w:rPr>
                <w:rStyle w:val="A4"/>
              </w:rPr>
              <w:t>pWCF</w:t>
            </w:r>
            <w:proofErr w:type="spellEnd"/>
            <w:r w:rsidR="002D1895" w:rsidRPr="004F1C20">
              <w:rPr>
                <w:rStyle w:val="A4"/>
              </w:rPr>
              <w:t xml:space="preserve"> demonstrated mild symptoms only when infected with </w:t>
            </w:r>
            <w:r w:rsidR="008607C3">
              <w:rPr>
                <w:lang w:val="en-GB"/>
              </w:rPr>
              <w:t xml:space="preserve">SARS-CoV-2 </w:t>
            </w:r>
            <w:r w:rsidR="002D1895" w:rsidRPr="004F1C20">
              <w:rPr>
                <w:rStyle w:val="A4"/>
              </w:rPr>
              <w:t xml:space="preserve">permitting outpatient treatment. There was evidence that treatment with inhaled corticosteroids was beneficial for patients </w:t>
            </w:r>
            <w:proofErr w:type="spellStart"/>
            <w:r w:rsidR="00B26AC7" w:rsidRPr="004F1C20">
              <w:rPr>
                <w:rStyle w:val="A4"/>
              </w:rPr>
              <w:t>pWCF</w:t>
            </w:r>
            <w:proofErr w:type="spellEnd"/>
            <w:r w:rsidR="00B26AC7" w:rsidRPr="004F1C20">
              <w:rPr>
                <w:rStyle w:val="A4"/>
              </w:rPr>
              <w:t xml:space="preserve"> </w:t>
            </w:r>
            <w:r w:rsidR="002D1895" w:rsidRPr="004F1C20">
              <w:rPr>
                <w:rStyle w:val="A4"/>
              </w:rPr>
              <w:t>infected with SARS-CoV2</w:t>
            </w:r>
            <w:r w:rsidR="00B26AC7" w:rsidRPr="004F1C20">
              <w:rPr>
                <w:rStyle w:val="A4"/>
              </w:rPr>
              <w:t xml:space="preserve">. </w:t>
            </w:r>
          </w:p>
          <w:p w14:paraId="36BD90F5" w14:textId="2F58194D" w:rsidR="00A5038C" w:rsidRPr="004F1C20" w:rsidRDefault="00A5038C" w:rsidP="00657114">
            <w:pPr>
              <w:pStyle w:val="Pa12"/>
              <w:rPr>
                <w:b/>
                <w:bCs/>
                <w:sz w:val="22"/>
                <w:szCs w:val="22"/>
              </w:rPr>
            </w:pPr>
            <w:r w:rsidRPr="004F1C20">
              <w:rPr>
                <w:rStyle w:val="A4"/>
                <w:b/>
                <w:bCs/>
              </w:rPr>
              <w:t xml:space="preserve">Grant Support: </w:t>
            </w:r>
            <w:r w:rsidR="00657114" w:rsidRPr="004F1C20">
              <w:rPr>
                <w:rStyle w:val="A4"/>
                <w:b/>
                <w:bCs/>
              </w:rPr>
              <w:t>Nil</w:t>
            </w:r>
            <w:r w:rsidR="00657114" w:rsidRPr="004F1C20">
              <w:rPr>
                <w:sz w:val="22"/>
                <w:szCs w:val="22"/>
              </w:rPr>
              <w:t>.</w:t>
            </w:r>
          </w:p>
          <w:p w14:paraId="216ED322" w14:textId="77777777" w:rsidR="00A5038C" w:rsidRPr="004F1C20" w:rsidRDefault="00A5038C" w:rsidP="00682EE9">
            <w:pPr>
              <w:pStyle w:val="Pa12"/>
              <w:rPr>
                <w:sz w:val="22"/>
                <w:szCs w:val="22"/>
              </w:rPr>
            </w:pPr>
            <w:r w:rsidRPr="004F1C20">
              <w:rPr>
                <w:sz w:val="22"/>
                <w:szCs w:val="22"/>
              </w:rPr>
              <w:br/>
            </w:r>
            <w:r w:rsidRPr="004F1C20">
              <w:rPr>
                <w:sz w:val="22"/>
                <w:szCs w:val="22"/>
              </w:rPr>
              <w:br/>
            </w:r>
            <w:r w:rsidRPr="004F1C20">
              <w:rPr>
                <w:sz w:val="22"/>
                <w:szCs w:val="22"/>
              </w:rPr>
              <w:br/>
            </w:r>
            <w:r w:rsidRPr="004F1C20">
              <w:rPr>
                <w:sz w:val="22"/>
                <w:szCs w:val="22"/>
              </w:rPr>
              <w:br/>
            </w:r>
            <w:r w:rsidRPr="004F1C20">
              <w:rPr>
                <w:sz w:val="22"/>
                <w:szCs w:val="22"/>
              </w:rPr>
              <w:br/>
            </w:r>
            <w:r w:rsidRPr="004F1C20">
              <w:rPr>
                <w:sz w:val="22"/>
                <w:szCs w:val="22"/>
              </w:rPr>
              <w:br/>
            </w:r>
            <w:r w:rsidRPr="004F1C20">
              <w:rPr>
                <w:sz w:val="22"/>
                <w:szCs w:val="22"/>
              </w:rPr>
              <w:br/>
            </w:r>
          </w:p>
          <w:p w14:paraId="33A687CF" w14:textId="77777777" w:rsidR="00A5038C" w:rsidRPr="004F1C20" w:rsidRDefault="00A5038C" w:rsidP="00682EE9">
            <w:pPr>
              <w:pStyle w:val="Default"/>
              <w:rPr>
                <w:sz w:val="22"/>
                <w:szCs w:val="22"/>
              </w:rPr>
            </w:pPr>
          </w:p>
          <w:p w14:paraId="16B4DC7B" w14:textId="77777777" w:rsidR="00A5038C" w:rsidRPr="004F1C20" w:rsidRDefault="00A5038C" w:rsidP="00682EE9">
            <w:pPr>
              <w:pStyle w:val="Default"/>
              <w:rPr>
                <w:sz w:val="22"/>
                <w:szCs w:val="22"/>
              </w:rPr>
            </w:pPr>
          </w:p>
          <w:p w14:paraId="337B0AB7" w14:textId="77777777" w:rsidR="00A5038C" w:rsidRPr="004F1C20" w:rsidRDefault="00A5038C" w:rsidP="00682EE9">
            <w:pPr>
              <w:pStyle w:val="Pa12"/>
              <w:rPr>
                <w:rStyle w:val="A4"/>
                <w:bCs/>
              </w:rPr>
            </w:pP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  <w:r w:rsidRPr="004F1C20">
              <w:rPr>
                <w:rStyle w:val="A4"/>
                <w:bCs/>
              </w:rPr>
              <w:br/>
            </w:r>
          </w:p>
          <w:p w14:paraId="1256D285" w14:textId="77777777" w:rsidR="00A5038C" w:rsidRPr="004F1C20" w:rsidRDefault="00A5038C" w:rsidP="00682EE9">
            <w:pPr>
              <w:pStyle w:val="Default"/>
              <w:rPr>
                <w:rStyle w:val="A4"/>
                <w:bCs/>
              </w:rPr>
            </w:pPr>
          </w:p>
          <w:p w14:paraId="27D6E919" w14:textId="77777777" w:rsidR="00A5038C" w:rsidRPr="004F1C20" w:rsidRDefault="00A5038C" w:rsidP="00682EE9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  <w:r w:rsidRPr="004F1C2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1AD57673" w14:textId="77777777" w:rsidR="001E0F16" w:rsidRDefault="001E0F16">
      <w:bookmarkStart w:id="0" w:name="_GoBack"/>
    </w:p>
    <w:bookmarkEnd w:id="0"/>
    <w:p w14:paraId="64B25497" w14:textId="77777777" w:rsidR="00FC03DB" w:rsidRDefault="00FC03DB"/>
    <w:sectPr w:rsidR="00FC0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8C"/>
    <w:rsid w:val="000603B9"/>
    <w:rsid w:val="000D0BCD"/>
    <w:rsid w:val="00114B22"/>
    <w:rsid w:val="001E0F16"/>
    <w:rsid w:val="002D1895"/>
    <w:rsid w:val="0032191B"/>
    <w:rsid w:val="003A7E67"/>
    <w:rsid w:val="004F1C20"/>
    <w:rsid w:val="00657114"/>
    <w:rsid w:val="006D042A"/>
    <w:rsid w:val="00827DFC"/>
    <w:rsid w:val="00855BFF"/>
    <w:rsid w:val="008607C3"/>
    <w:rsid w:val="0094562B"/>
    <w:rsid w:val="00987A19"/>
    <w:rsid w:val="009A008A"/>
    <w:rsid w:val="00A5038C"/>
    <w:rsid w:val="00B26AC7"/>
    <w:rsid w:val="00B759E7"/>
    <w:rsid w:val="00CC2763"/>
    <w:rsid w:val="00CE7D27"/>
    <w:rsid w:val="00CF289E"/>
    <w:rsid w:val="00DE3964"/>
    <w:rsid w:val="00EF1563"/>
    <w:rsid w:val="00F44EA4"/>
    <w:rsid w:val="00FC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3704"/>
  <w15:chartTrackingRefBased/>
  <w15:docId w15:val="{BB0111CA-CFFC-467D-8ECE-EFF8995A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38C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03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character" w:customStyle="1" w:styleId="A4">
    <w:name w:val="A4"/>
    <w:uiPriority w:val="99"/>
    <w:rsid w:val="00A5038C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A5038C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F44EA4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22"/>
    <w:rPr>
      <w:rFonts w:ascii="Segoe UI" w:hAnsi="Segoe UI" w:cs="Segoe UI"/>
      <w:kern w:val="2"/>
      <w:sz w:val="18"/>
      <w:szCs w:val="1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FD9E7A0A32943BF5BA4BA72ED1B8A" ma:contentTypeVersion="11" ma:contentTypeDescription="Create a new document." ma:contentTypeScope="" ma:versionID="ac1da40aa7afd95062b7a3241eda1b18">
  <xsd:schema xmlns:xsd="http://www.w3.org/2001/XMLSchema" xmlns:xs="http://www.w3.org/2001/XMLSchema" xmlns:p="http://schemas.microsoft.com/office/2006/metadata/properties" xmlns:ns3="650b1cf4-4d68-457d-bf25-a86f875ef8ae" xmlns:ns4="dd02b03c-aa50-4a06-930b-86dae4d74692" targetNamespace="http://schemas.microsoft.com/office/2006/metadata/properties" ma:root="true" ma:fieldsID="503a9a0c5a59d292e58b642e04771591" ns3:_="" ns4:_="">
    <xsd:import namespace="650b1cf4-4d68-457d-bf25-a86f875ef8ae"/>
    <xsd:import namespace="dd02b03c-aa50-4a06-930b-86dae4d74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1cf4-4d68-457d-bf25-a86f875ef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2b03c-aa50-4a06-930b-86dae4d74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0b1cf4-4d68-457d-bf25-a86f875ef8ae" xsi:nil="true"/>
  </documentManagement>
</p:properties>
</file>

<file path=customXml/itemProps1.xml><?xml version="1.0" encoding="utf-8"?>
<ds:datastoreItem xmlns:ds="http://schemas.openxmlformats.org/officeDocument/2006/customXml" ds:itemID="{1E323AA1-7268-43FE-9892-FE1A59478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b1cf4-4d68-457d-bf25-a86f875ef8ae"/>
    <ds:schemaRef ds:uri="dd02b03c-aa50-4a06-930b-86dae4d74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49D1E-CE4E-4A7A-946A-39A260DC8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FFAD0-89A4-4B70-B80D-2FCAB12ACAC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dd02b03c-aa50-4a06-930b-86dae4d74692"/>
    <ds:schemaRef ds:uri="650b1cf4-4d68-457d-bf25-a86f875ef8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Reid</dc:creator>
  <cp:keywords/>
  <dc:description/>
  <cp:lastModifiedBy>Hettie O'Connor</cp:lastModifiedBy>
  <cp:revision>2</cp:revision>
  <dcterms:created xsi:type="dcterms:W3CDTF">2023-10-18T23:22:00Z</dcterms:created>
  <dcterms:modified xsi:type="dcterms:W3CDTF">2023-10-18T23:22:00Z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0x010100CEBFD9E7A0A32943BF5BA4BA72ED1B8A</vt:lpwstr>
  </property>
</Properties>
</file>