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BFFE" w14:textId="77777777" w:rsidR="00634BAA" w:rsidRPr="00634BAA" w:rsidRDefault="00634BAA" w:rsidP="00634BAA">
      <w:pPr>
        <w:spacing w:line="240" w:lineRule="auto"/>
        <w:rPr>
          <w:rFonts w:ascii="Arial" w:hAnsi="Arial" w:cs="Arial"/>
          <w:b/>
          <w:bCs/>
          <w:sz w:val="22"/>
          <w:szCs w:val="22"/>
        </w:rPr>
      </w:pPr>
      <w:r w:rsidRPr="00634BAA">
        <w:rPr>
          <w:rFonts w:ascii="Arial" w:hAnsi="Arial" w:cs="Arial"/>
          <w:b/>
          <w:bCs/>
          <w:sz w:val="22"/>
          <w:szCs w:val="22"/>
        </w:rPr>
        <w:t>Sarcopenic obesity prevalence in patients having BMI ≥ 23 kg/m² and its association with Diabetes Mellitus, Dyslipidemia, Hypertension, and other lifestyle factors</w:t>
      </w:r>
    </w:p>
    <w:p w14:paraId="3BBDB110" w14:textId="77777777" w:rsidR="00634BAA" w:rsidRPr="00634BAA" w:rsidRDefault="00634BAA" w:rsidP="00634BAA">
      <w:pPr>
        <w:spacing w:line="240" w:lineRule="auto"/>
        <w:rPr>
          <w:rFonts w:ascii="Arial" w:hAnsi="Arial" w:cs="Arial"/>
          <w:b/>
          <w:bCs/>
          <w:sz w:val="22"/>
          <w:szCs w:val="22"/>
        </w:rPr>
      </w:pPr>
    </w:p>
    <w:p w14:paraId="7FF4E45A" w14:textId="63292001" w:rsidR="006725F5" w:rsidRPr="00634BAA" w:rsidRDefault="006725F5" w:rsidP="00634BAA">
      <w:pPr>
        <w:spacing w:line="240" w:lineRule="auto"/>
        <w:rPr>
          <w:rFonts w:ascii="Arial" w:hAnsi="Arial" w:cs="Arial"/>
          <w:b/>
          <w:bCs/>
          <w:sz w:val="22"/>
          <w:szCs w:val="22"/>
        </w:rPr>
      </w:pPr>
      <w:r w:rsidRPr="00634BAA">
        <w:rPr>
          <w:rFonts w:ascii="Arial" w:hAnsi="Arial" w:cs="Arial"/>
          <w:b/>
          <w:bCs/>
          <w:sz w:val="22"/>
          <w:szCs w:val="22"/>
        </w:rPr>
        <w:t>AIM</w:t>
      </w:r>
    </w:p>
    <w:p w14:paraId="292F1676" w14:textId="3BC31139" w:rsidR="00344752" w:rsidRPr="00634BAA" w:rsidRDefault="00DB370B" w:rsidP="00634BAA">
      <w:pPr>
        <w:spacing w:line="240" w:lineRule="auto"/>
        <w:rPr>
          <w:rFonts w:ascii="Arial" w:hAnsi="Arial" w:cs="Arial"/>
          <w:b/>
          <w:bCs/>
          <w:sz w:val="22"/>
          <w:szCs w:val="22"/>
        </w:rPr>
      </w:pPr>
      <w:r w:rsidRPr="00634BAA">
        <w:rPr>
          <w:rFonts w:ascii="Arial" w:hAnsi="Arial" w:cs="Arial"/>
          <w:sz w:val="22"/>
          <w:szCs w:val="22"/>
        </w:rPr>
        <w:t>Sarcopenic obesity</w:t>
      </w:r>
      <w:r w:rsidR="00124C82" w:rsidRPr="00634BAA">
        <w:rPr>
          <w:rFonts w:ascii="Arial" w:hAnsi="Arial" w:cs="Arial"/>
          <w:sz w:val="22"/>
          <w:szCs w:val="22"/>
        </w:rPr>
        <w:t xml:space="preserve"> prevalence</w:t>
      </w:r>
      <w:r w:rsidRPr="00634BAA">
        <w:rPr>
          <w:rFonts w:ascii="Arial" w:hAnsi="Arial" w:cs="Arial"/>
          <w:sz w:val="22"/>
          <w:szCs w:val="22"/>
        </w:rPr>
        <w:t xml:space="preserve"> in patients having BMI ≥ 23 </w:t>
      </w:r>
      <w:r w:rsidR="00CB003C" w:rsidRPr="00634BAA">
        <w:rPr>
          <w:rFonts w:ascii="Arial" w:hAnsi="Arial" w:cs="Arial"/>
          <w:sz w:val="22"/>
          <w:szCs w:val="22"/>
        </w:rPr>
        <w:t>kg/m²</w:t>
      </w:r>
      <w:r w:rsidRPr="00634BAA">
        <w:rPr>
          <w:rFonts w:ascii="Arial" w:hAnsi="Arial" w:cs="Arial"/>
          <w:sz w:val="22"/>
          <w:szCs w:val="22"/>
          <w:vertAlign w:val="superscript"/>
        </w:rPr>
        <w:t xml:space="preserve"> </w:t>
      </w:r>
      <w:r w:rsidRPr="00634BAA">
        <w:rPr>
          <w:rFonts w:ascii="Arial" w:hAnsi="Arial" w:cs="Arial"/>
          <w:sz w:val="22"/>
          <w:szCs w:val="22"/>
        </w:rPr>
        <w:t xml:space="preserve">and its association with Diabetes </w:t>
      </w:r>
      <w:r w:rsidR="00CB003C" w:rsidRPr="00634BAA">
        <w:rPr>
          <w:rFonts w:ascii="Arial" w:hAnsi="Arial" w:cs="Arial"/>
          <w:sz w:val="22"/>
          <w:szCs w:val="22"/>
        </w:rPr>
        <w:t>Mellitus, Dyslipidemia, Hypertension,</w:t>
      </w:r>
      <w:r w:rsidRPr="00634BAA">
        <w:rPr>
          <w:rFonts w:ascii="Arial" w:hAnsi="Arial" w:cs="Arial"/>
          <w:sz w:val="22"/>
          <w:szCs w:val="22"/>
        </w:rPr>
        <w:t xml:space="preserve"> and other lifestyle factors</w:t>
      </w:r>
    </w:p>
    <w:p w14:paraId="6BD1AA5F" w14:textId="4A672C55" w:rsidR="00D10814" w:rsidRPr="00634BAA" w:rsidRDefault="00A4586A" w:rsidP="00634BAA">
      <w:pPr>
        <w:spacing w:line="240" w:lineRule="auto"/>
        <w:rPr>
          <w:rFonts w:ascii="Arial" w:hAnsi="Arial" w:cs="Arial"/>
          <w:b/>
          <w:bCs/>
          <w:sz w:val="22"/>
          <w:szCs w:val="22"/>
        </w:rPr>
      </w:pPr>
      <w:r w:rsidRPr="00634BAA">
        <w:rPr>
          <w:rFonts w:ascii="Arial" w:hAnsi="Arial" w:cs="Arial"/>
          <w:b/>
          <w:bCs/>
          <w:sz w:val="22"/>
          <w:szCs w:val="22"/>
        </w:rPr>
        <w:t>METHODS</w:t>
      </w:r>
    </w:p>
    <w:p w14:paraId="7A127E09" w14:textId="60436488" w:rsidR="007C6852" w:rsidRPr="00634BAA" w:rsidRDefault="007C6852" w:rsidP="00634BAA">
      <w:pPr>
        <w:spacing w:line="240" w:lineRule="auto"/>
        <w:rPr>
          <w:rFonts w:ascii="Arial" w:hAnsi="Arial" w:cs="Arial"/>
          <w:sz w:val="22"/>
          <w:szCs w:val="22"/>
        </w:rPr>
      </w:pPr>
      <w:r w:rsidRPr="00634BAA">
        <w:rPr>
          <w:rFonts w:ascii="Arial" w:hAnsi="Arial" w:cs="Arial"/>
          <w:sz w:val="22"/>
          <w:szCs w:val="22"/>
        </w:rPr>
        <w:t xml:space="preserve">A cross-sectional study was conducted among </w:t>
      </w:r>
      <w:r w:rsidRPr="00634BAA">
        <w:rPr>
          <w:rFonts w:ascii="Arial" w:hAnsi="Arial" w:cs="Arial"/>
          <w:b/>
          <w:bCs/>
          <w:sz w:val="22"/>
          <w:szCs w:val="22"/>
        </w:rPr>
        <w:t>109 adults</w:t>
      </w:r>
      <w:r w:rsidRPr="00634BAA">
        <w:rPr>
          <w:rFonts w:ascii="Arial" w:hAnsi="Arial" w:cs="Arial"/>
          <w:sz w:val="22"/>
          <w:szCs w:val="22"/>
        </w:rPr>
        <w:t xml:space="preserve"> (BMI ≥23 kg/m²) attending a tertiary-care center. Sarcopenia was assessed using </w:t>
      </w:r>
      <w:r w:rsidR="008062B5" w:rsidRPr="00634BAA">
        <w:rPr>
          <w:rFonts w:ascii="Arial" w:hAnsi="Arial" w:cs="Arial"/>
          <w:sz w:val="22"/>
          <w:szCs w:val="22"/>
        </w:rPr>
        <w:t>handgrip</w:t>
      </w:r>
      <w:r w:rsidRPr="00634BAA">
        <w:rPr>
          <w:rFonts w:ascii="Arial" w:hAnsi="Arial" w:cs="Arial"/>
          <w:sz w:val="22"/>
          <w:szCs w:val="22"/>
        </w:rPr>
        <w:t xml:space="preserve"> strength</w:t>
      </w:r>
      <w:r w:rsidR="00C60CA5" w:rsidRPr="00634BAA">
        <w:rPr>
          <w:rFonts w:ascii="Arial" w:hAnsi="Arial" w:cs="Arial"/>
          <w:sz w:val="22"/>
          <w:szCs w:val="22"/>
        </w:rPr>
        <w:t xml:space="preserve"> by Jamar Hand Dynamometer</w:t>
      </w:r>
      <w:r w:rsidRPr="00634BAA">
        <w:rPr>
          <w:rFonts w:ascii="Arial" w:hAnsi="Arial" w:cs="Arial"/>
          <w:sz w:val="22"/>
          <w:szCs w:val="22"/>
        </w:rPr>
        <w:t xml:space="preserve">, </w:t>
      </w:r>
      <w:r w:rsidR="00C60CA5" w:rsidRPr="00634BAA">
        <w:rPr>
          <w:rFonts w:ascii="Arial" w:hAnsi="Arial" w:cs="Arial"/>
          <w:sz w:val="22"/>
          <w:szCs w:val="22"/>
        </w:rPr>
        <w:t>ASMM/H²,</w:t>
      </w:r>
      <w:r w:rsidRPr="00634BAA">
        <w:rPr>
          <w:rFonts w:ascii="Arial" w:hAnsi="Arial" w:cs="Arial"/>
          <w:sz w:val="22"/>
          <w:szCs w:val="22"/>
        </w:rPr>
        <w:t xml:space="preserve"> and obesity by body-fat percentage</w:t>
      </w:r>
      <w:r w:rsidR="00C60CA5" w:rsidRPr="00634BAA">
        <w:rPr>
          <w:rFonts w:ascii="Arial" w:hAnsi="Arial" w:cs="Arial"/>
          <w:sz w:val="22"/>
          <w:szCs w:val="22"/>
        </w:rPr>
        <w:t xml:space="preserve"> via Whole Body Dexa Scan and SARC-F scoring</w:t>
      </w:r>
      <w:r w:rsidRPr="00634BAA">
        <w:rPr>
          <w:rFonts w:ascii="Arial" w:hAnsi="Arial" w:cs="Arial"/>
          <w:sz w:val="22"/>
          <w:szCs w:val="22"/>
        </w:rPr>
        <w:t>. Participants were classified into sarcopenic obese (n=35) and non-sarcopenic obese (n=74) groups. Clinical variables and lifestyle behaviors were recorded. Associations were analyzed using odds ratios (OR), 95% confidence intervals (CI), and chi-square testing. Individuals with acute illness, organ failure, or secondary causes of myopathy were excluded.</w:t>
      </w:r>
    </w:p>
    <w:p w14:paraId="4540AA23" w14:textId="47E9EF6D" w:rsidR="00173FDC" w:rsidRPr="00634BAA" w:rsidRDefault="00CB003C" w:rsidP="00634BAA">
      <w:pPr>
        <w:spacing w:line="240" w:lineRule="auto"/>
        <w:rPr>
          <w:rFonts w:ascii="Arial" w:hAnsi="Arial" w:cs="Arial"/>
          <w:b/>
          <w:bCs/>
          <w:sz w:val="22"/>
          <w:szCs w:val="22"/>
        </w:rPr>
      </w:pPr>
      <w:r w:rsidRPr="00634BAA">
        <w:rPr>
          <w:rFonts w:ascii="Arial" w:hAnsi="Arial" w:cs="Arial"/>
          <w:b/>
          <w:bCs/>
          <w:sz w:val="22"/>
          <w:szCs w:val="22"/>
        </w:rPr>
        <w:t xml:space="preserve">RESULTS </w:t>
      </w:r>
    </w:p>
    <w:p w14:paraId="25896A54" w14:textId="349B1EF3" w:rsidR="00173FDC" w:rsidRPr="00634BAA" w:rsidRDefault="00887C1B" w:rsidP="00634BAA">
      <w:pPr>
        <w:spacing w:line="240" w:lineRule="auto"/>
        <w:rPr>
          <w:rFonts w:ascii="Arial" w:hAnsi="Arial" w:cs="Arial"/>
          <w:sz w:val="22"/>
          <w:szCs w:val="22"/>
        </w:rPr>
      </w:pPr>
      <w:r w:rsidRPr="00634BAA">
        <w:rPr>
          <w:rFonts w:ascii="Arial" w:hAnsi="Arial" w:cs="Arial"/>
          <w:sz w:val="22"/>
          <w:szCs w:val="22"/>
        </w:rPr>
        <w:t xml:space="preserve">The prevalence of sarcopenic obesity was </w:t>
      </w:r>
      <w:r w:rsidRPr="00634BAA">
        <w:rPr>
          <w:rFonts w:ascii="Arial" w:hAnsi="Arial" w:cs="Arial"/>
          <w:b/>
          <w:bCs/>
          <w:sz w:val="22"/>
          <w:szCs w:val="22"/>
        </w:rPr>
        <w:t>32.1%</w:t>
      </w:r>
      <w:r w:rsidRPr="00634BAA">
        <w:rPr>
          <w:rFonts w:ascii="Arial" w:hAnsi="Arial" w:cs="Arial"/>
          <w:sz w:val="22"/>
          <w:szCs w:val="22"/>
        </w:rPr>
        <w:t xml:space="preserve">. Significant associations were observed with </w:t>
      </w:r>
      <w:r w:rsidRPr="00634BAA">
        <w:rPr>
          <w:rFonts w:ascii="Arial" w:hAnsi="Arial" w:cs="Arial"/>
          <w:b/>
          <w:bCs/>
          <w:sz w:val="22"/>
          <w:szCs w:val="22"/>
        </w:rPr>
        <w:t>diabetes mellitus</w:t>
      </w:r>
      <w:r w:rsidRPr="00634BAA">
        <w:rPr>
          <w:rFonts w:ascii="Arial" w:hAnsi="Arial" w:cs="Arial"/>
          <w:sz w:val="22"/>
          <w:szCs w:val="22"/>
        </w:rPr>
        <w:t xml:space="preserve"> (OR 4.25; 95% CI 1.74–10.38; p=0.001), </w:t>
      </w:r>
      <w:r w:rsidRPr="00634BAA">
        <w:rPr>
          <w:rFonts w:ascii="Arial" w:hAnsi="Arial" w:cs="Arial"/>
          <w:b/>
          <w:bCs/>
          <w:sz w:val="22"/>
          <w:szCs w:val="22"/>
        </w:rPr>
        <w:t>dyslipidemia</w:t>
      </w:r>
      <w:r w:rsidRPr="00634BAA">
        <w:rPr>
          <w:rFonts w:ascii="Arial" w:hAnsi="Arial" w:cs="Arial"/>
          <w:sz w:val="22"/>
          <w:szCs w:val="22"/>
        </w:rPr>
        <w:t xml:space="preserve"> (OR 2.82; 95% CI 1.28–6.20; p=0.009), and </w:t>
      </w:r>
      <w:r w:rsidRPr="00634BAA">
        <w:rPr>
          <w:rFonts w:ascii="Arial" w:hAnsi="Arial" w:cs="Arial"/>
          <w:b/>
          <w:bCs/>
          <w:sz w:val="22"/>
          <w:szCs w:val="22"/>
        </w:rPr>
        <w:t>hypertension</w:t>
      </w:r>
      <w:r w:rsidRPr="00634BAA">
        <w:rPr>
          <w:rFonts w:ascii="Arial" w:hAnsi="Arial" w:cs="Arial"/>
          <w:sz w:val="22"/>
          <w:szCs w:val="22"/>
        </w:rPr>
        <w:t xml:space="preserve"> (OR 3.79; 95% CI 1.63–8.81; p=0.002). Strong lifestyle associations included </w:t>
      </w:r>
      <w:r w:rsidRPr="00634BAA">
        <w:rPr>
          <w:rFonts w:ascii="Arial" w:hAnsi="Arial" w:cs="Arial"/>
          <w:b/>
          <w:bCs/>
          <w:sz w:val="22"/>
          <w:szCs w:val="22"/>
        </w:rPr>
        <w:t>alcohol use</w:t>
      </w:r>
      <w:r w:rsidRPr="00634BAA">
        <w:rPr>
          <w:rFonts w:ascii="Arial" w:hAnsi="Arial" w:cs="Arial"/>
          <w:sz w:val="22"/>
          <w:szCs w:val="22"/>
        </w:rPr>
        <w:t xml:space="preserve"> (OR 21.27; p=0.0004), </w:t>
      </w:r>
      <w:r w:rsidRPr="00634BAA">
        <w:rPr>
          <w:rFonts w:ascii="Arial" w:hAnsi="Arial" w:cs="Arial"/>
          <w:b/>
          <w:bCs/>
          <w:sz w:val="22"/>
          <w:szCs w:val="22"/>
        </w:rPr>
        <w:t>smoking</w:t>
      </w:r>
      <w:r w:rsidRPr="00634BAA">
        <w:rPr>
          <w:rFonts w:ascii="Arial" w:hAnsi="Arial" w:cs="Arial"/>
          <w:sz w:val="22"/>
          <w:szCs w:val="22"/>
        </w:rPr>
        <w:t xml:space="preserve"> (OR 10.66; p=0.003), </w:t>
      </w:r>
      <w:r w:rsidRPr="00634BAA">
        <w:rPr>
          <w:rFonts w:ascii="Arial" w:hAnsi="Arial" w:cs="Arial"/>
          <w:b/>
          <w:bCs/>
          <w:sz w:val="22"/>
          <w:szCs w:val="22"/>
        </w:rPr>
        <w:t>physical inactivity</w:t>
      </w:r>
      <w:r w:rsidRPr="00634BAA">
        <w:rPr>
          <w:rFonts w:ascii="Arial" w:hAnsi="Arial" w:cs="Arial"/>
          <w:sz w:val="22"/>
          <w:szCs w:val="22"/>
        </w:rPr>
        <w:t xml:space="preserve"> (OR 2.47; p=0.027), and </w:t>
      </w:r>
      <w:r w:rsidRPr="00634BAA">
        <w:rPr>
          <w:rFonts w:ascii="Arial" w:hAnsi="Arial" w:cs="Arial"/>
          <w:b/>
          <w:bCs/>
          <w:sz w:val="22"/>
          <w:szCs w:val="22"/>
        </w:rPr>
        <w:t>vegetarian diet</w:t>
      </w:r>
      <w:r w:rsidRPr="00634BAA">
        <w:rPr>
          <w:rFonts w:ascii="Arial" w:hAnsi="Arial" w:cs="Arial"/>
          <w:sz w:val="22"/>
          <w:szCs w:val="22"/>
        </w:rPr>
        <w:t xml:space="preserve"> (OR 12.27; p&lt;0.0001). Sleep duration &lt;8 hours showed no significant association.</w:t>
      </w:r>
    </w:p>
    <w:p w14:paraId="7B8197D0" w14:textId="21EDF1B4" w:rsidR="00887C1B" w:rsidRPr="00634BAA" w:rsidRDefault="00887C1B" w:rsidP="00634BAA">
      <w:pPr>
        <w:spacing w:line="240" w:lineRule="auto"/>
        <w:rPr>
          <w:rFonts w:ascii="Arial" w:hAnsi="Arial" w:cs="Arial"/>
          <w:b/>
          <w:bCs/>
          <w:sz w:val="22"/>
          <w:szCs w:val="22"/>
        </w:rPr>
      </w:pPr>
      <w:r w:rsidRPr="00634BAA">
        <w:rPr>
          <w:rFonts w:ascii="Arial" w:hAnsi="Arial" w:cs="Arial"/>
          <w:b/>
          <w:bCs/>
          <w:sz w:val="22"/>
          <w:szCs w:val="22"/>
        </w:rPr>
        <w:t>DISCUSSION</w:t>
      </w:r>
    </w:p>
    <w:p w14:paraId="35A9FDC6" w14:textId="77777777" w:rsidR="00887C1B" w:rsidRPr="00634BAA" w:rsidRDefault="00887C1B" w:rsidP="00634BAA">
      <w:pPr>
        <w:spacing w:line="240" w:lineRule="auto"/>
        <w:rPr>
          <w:rFonts w:ascii="Arial" w:hAnsi="Arial" w:cs="Arial"/>
          <w:sz w:val="22"/>
          <w:szCs w:val="22"/>
        </w:rPr>
      </w:pPr>
      <w:r w:rsidRPr="00634BAA">
        <w:rPr>
          <w:rFonts w:ascii="Arial" w:hAnsi="Arial" w:cs="Arial"/>
          <w:sz w:val="22"/>
          <w:szCs w:val="22"/>
        </w:rPr>
        <w:t>The present study demonstrates that sarcopenic obesity is highly prevalent in individuals with BMI ≥23 kg/m² and is strongly linked to adverse metabolic profiles. The significant associations with diabetes, dyslipidemia, and hypertension suggest that sarcopenic obesity may potentiate cardiometabolic risk through altered myokine–adipokine signaling, impaired insulin sensitivity, and ectopic fat accumulation. Lifestyle correlates, including alcohol consumption, smoking, and physical inactivity, further indicate that both metabolic and behavioral factors synergistically contribute to this phenotype. The notable association with a predominantly vegetarian diet likely reflects suboptimal protein intake, emphasizing the role of dietary quality in muscle preservation. Collectively, these findings reinforce sarcopenic obesity as a distinct metabolic entity requiring targeted clinical recognition beyond BMI-based categorization.</w:t>
      </w:r>
    </w:p>
    <w:p w14:paraId="1F7F04FE" w14:textId="77777777" w:rsidR="00173FDC" w:rsidRPr="00634BAA" w:rsidRDefault="00173FDC" w:rsidP="00634BAA">
      <w:pPr>
        <w:spacing w:line="240" w:lineRule="auto"/>
        <w:rPr>
          <w:rFonts w:ascii="Arial" w:hAnsi="Arial" w:cs="Arial"/>
          <w:sz w:val="22"/>
          <w:szCs w:val="22"/>
        </w:rPr>
      </w:pPr>
    </w:p>
    <w:p w14:paraId="2D21AC26" w14:textId="133C700D" w:rsidR="00634BAA" w:rsidRDefault="004C355B" w:rsidP="00634BAA">
      <w:pPr>
        <w:spacing w:line="240" w:lineRule="auto"/>
        <w:rPr>
          <w:rFonts w:ascii="Times New Roman" w:hAnsi="Times New Roman" w:cs="Times New Roman"/>
          <w:sz w:val="32"/>
          <w:szCs w:val="32"/>
        </w:rPr>
      </w:pPr>
      <w:r w:rsidRPr="00634BAA">
        <w:rPr>
          <w:rFonts w:ascii="Arial" w:hAnsi="Arial" w:cs="Arial"/>
          <w:sz w:val="22"/>
          <w:szCs w:val="22"/>
        </w:rPr>
        <w:br/>
      </w:r>
      <w:r w:rsidRPr="00F143B8">
        <w:rPr>
          <w:rFonts w:ascii="Times New Roman" w:hAnsi="Times New Roman" w:cs="Times New Roman"/>
          <w:sz w:val="32"/>
          <w:szCs w:val="32"/>
        </w:rPr>
        <w:br/>
      </w:r>
    </w:p>
    <w:p w14:paraId="2AFB8891" w14:textId="09E0F732" w:rsidR="00887C1B" w:rsidRPr="00F143B8" w:rsidRDefault="00CA187D" w:rsidP="00F82A5A">
      <w:pPr>
        <w:rPr>
          <w:rFonts w:ascii="Times New Roman" w:hAnsi="Times New Roman" w:cs="Times New Roman"/>
        </w:rPr>
      </w:pPr>
      <w:r>
        <w:rPr>
          <w:rFonts w:ascii="Times New Roman" w:hAnsi="Times New Roman" w:cs="Times New Roman"/>
          <w:sz w:val="32"/>
          <w:szCs w:val="32"/>
        </w:rPr>
        <w:br/>
      </w:r>
    </w:p>
    <w:p w14:paraId="05A0FD08" w14:textId="77777777" w:rsidR="00D10814" w:rsidRPr="00F143B8" w:rsidRDefault="00D10814" w:rsidP="00775D7B">
      <w:pPr>
        <w:rPr>
          <w:rFonts w:ascii="Times New Roman" w:hAnsi="Times New Roman" w:cs="Times New Roman"/>
        </w:rPr>
      </w:pPr>
    </w:p>
    <w:sectPr w:rsidR="00D10814" w:rsidRPr="00F14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67B93"/>
    <w:multiLevelType w:val="hybridMultilevel"/>
    <w:tmpl w:val="2B96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31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11"/>
    <w:rsid w:val="00032566"/>
    <w:rsid w:val="00063D53"/>
    <w:rsid w:val="000C03F4"/>
    <w:rsid w:val="0011527F"/>
    <w:rsid w:val="0011710B"/>
    <w:rsid w:val="00124C82"/>
    <w:rsid w:val="0012572C"/>
    <w:rsid w:val="00127264"/>
    <w:rsid w:val="00131457"/>
    <w:rsid w:val="00142BFD"/>
    <w:rsid w:val="00167CC5"/>
    <w:rsid w:val="00173FDC"/>
    <w:rsid w:val="001C706D"/>
    <w:rsid w:val="00252D5E"/>
    <w:rsid w:val="002623A8"/>
    <w:rsid w:val="002E77D1"/>
    <w:rsid w:val="002F0804"/>
    <w:rsid w:val="00323EC5"/>
    <w:rsid w:val="00344752"/>
    <w:rsid w:val="00362CD5"/>
    <w:rsid w:val="003E31F7"/>
    <w:rsid w:val="0041465C"/>
    <w:rsid w:val="00450A1D"/>
    <w:rsid w:val="00463AB6"/>
    <w:rsid w:val="00482E16"/>
    <w:rsid w:val="004C355B"/>
    <w:rsid w:val="004E779A"/>
    <w:rsid w:val="004F3449"/>
    <w:rsid w:val="005377F2"/>
    <w:rsid w:val="00542C7D"/>
    <w:rsid w:val="00566E35"/>
    <w:rsid w:val="00586D2C"/>
    <w:rsid w:val="005A14B0"/>
    <w:rsid w:val="005A6EC4"/>
    <w:rsid w:val="005B1170"/>
    <w:rsid w:val="005C3775"/>
    <w:rsid w:val="005C62AC"/>
    <w:rsid w:val="005E034E"/>
    <w:rsid w:val="00634BAA"/>
    <w:rsid w:val="00664F31"/>
    <w:rsid w:val="006725F5"/>
    <w:rsid w:val="006A4187"/>
    <w:rsid w:val="007146BE"/>
    <w:rsid w:val="007279FD"/>
    <w:rsid w:val="00751AEA"/>
    <w:rsid w:val="00775D7B"/>
    <w:rsid w:val="0079300F"/>
    <w:rsid w:val="007C6852"/>
    <w:rsid w:val="008062B5"/>
    <w:rsid w:val="00832351"/>
    <w:rsid w:val="00854253"/>
    <w:rsid w:val="00867477"/>
    <w:rsid w:val="00887C1B"/>
    <w:rsid w:val="008915A2"/>
    <w:rsid w:val="008C07A4"/>
    <w:rsid w:val="008E01AC"/>
    <w:rsid w:val="0094476D"/>
    <w:rsid w:val="00965045"/>
    <w:rsid w:val="00992E03"/>
    <w:rsid w:val="00A16F69"/>
    <w:rsid w:val="00A4586A"/>
    <w:rsid w:val="00A933DB"/>
    <w:rsid w:val="00AB1190"/>
    <w:rsid w:val="00AC6A01"/>
    <w:rsid w:val="00AE7CC4"/>
    <w:rsid w:val="00AF0970"/>
    <w:rsid w:val="00B17418"/>
    <w:rsid w:val="00B729E1"/>
    <w:rsid w:val="00B8721D"/>
    <w:rsid w:val="00BA6911"/>
    <w:rsid w:val="00BB3F7F"/>
    <w:rsid w:val="00BF1CDA"/>
    <w:rsid w:val="00BF2AF2"/>
    <w:rsid w:val="00C220C6"/>
    <w:rsid w:val="00C60CA5"/>
    <w:rsid w:val="00C750C1"/>
    <w:rsid w:val="00C75876"/>
    <w:rsid w:val="00CA187D"/>
    <w:rsid w:val="00CB003C"/>
    <w:rsid w:val="00D10814"/>
    <w:rsid w:val="00D615B0"/>
    <w:rsid w:val="00D91B27"/>
    <w:rsid w:val="00DB370B"/>
    <w:rsid w:val="00DE0004"/>
    <w:rsid w:val="00E075D9"/>
    <w:rsid w:val="00E205D0"/>
    <w:rsid w:val="00E45E62"/>
    <w:rsid w:val="00E54F87"/>
    <w:rsid w:val="00E60119"/>
    <w:rsid w:val="00E8185D"/>
    <w:rsid w:val="00E8717D"/>
    <w:rsid w:val="00ED3903"/>
    <w:rsid w:val="00F03BDD"/>
    <w:rsid w:val="00F143B8"/>
    <w:rsid w:val="00F17E97"/>
    <w:rsid w:val="00F82A5A"/>
    <w:rsid w:val="00FD065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CC2F"/>
  <w15:chartTrackingRefBased/>
  <w15:docId w15:val="{EBB14932-6582-48C9-9D18-9BADCB22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9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69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9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69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9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9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69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69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69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9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911"/>
    <w:rPr>
      <w:rFonts w:eastAsiaTheme="majorEastAsia" w:cstheme="majorBidi"/>
      <w:color w:val="272727" w:themeColor="text1" w:themeTint="D8"/>
    </w:rPr>
  </w:style>
  <w:style w:type="paragraph" w:styleId="Title">
    <w:name w:val="Title"/>
    <w:basedOn w:val="Normal"/>
    <w:next w:val="Normal"/>
    <w:link w:val="TitleChar"/>
    <w:uiPriority w:val="10"/>
    <w:qFormat/>
    <w:rsid w:val="00BA6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911"/>
    <w:pPr>
      <w:spacing w:before="160"/>
      <w:jc w:val="center"/>
    </w:pPr>
    <w:rPr>
      <w:i/>
      <w:iCs/>
      <w:color w:val="404040" w:themeColor="text1" w:themeTint="BF"/>
    </w:rPr>
  </w:style>
  <w:style w:type="character" w:customStyle="1" w:styleId="QuoteChar">
    <w:name w:val="Quote Char"/>
    <w:basedOn w:val="DefaultParagraphFont"/>
    <w:link w:val="Quote"/>
    <w:uiPriority w:val="29"/>
    <w:rsid w:val="00BA6911"/>
    <w:rPr>
      <w:i/>
      <w:iCs/>
      <w:color w:val="404040" w:themeColor="text1" w:themeTint="BF"/>
    </w:rPr>
  </w:style>
  <w:style w:type="paragraph" w:styleId="ListParagraph">
    <w:name w:val="List Paragraph"/>
    <w:basedOn w:val="Normal"/>
    <w:uiPriority w:val="34"/>
    <w:qFormat/>
    <w:rsid w:val="00BA6911"/>
    <w:pPr>
      <w:ind w:left="720"/>
      <w:contextualSpacing/>
    </w:pPr>
  </w:style>
  <w:style w:type="character" w:styleId="IntenseEmphasis">
    <w:name w:val="Intense Emphasis"/>
    <w:basedOn w:val="DefaultParagraphFont"/>
    <w:uiPriority w:val="21"/>
    <w:qFormat/>
    <w:rsid w:val="00BA6911"/>
    <w:rPr>
      <w:i/>
      <w:iCs/>
      <w:color w:val="2F5496" w:themeColor="accent1" w:themeShade="BF"/>
    </w:rPr>
  </w:style>
  <w:style w:type="paragraph" w:styleId="IntenseQuote">
    <w:name w:val="Intense Quote"/>
    <w:basedOn w:val="Normal"/>
    <w:next w:val="Normal"/>
    <w:link w:val="IntenseQuoteChar"/>
    <w:uiPriority w:val="30"/>
    <w:qFormat/>
    <w:rsid w:val="00BA6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911"/>
    <w:rPr>
      <w:i/>
      <w:iCs/>
      <w:color w:val="2F5496" w:themeColor="accent1" w:themeShade="BF"/>
    </w:rPr>
  </w:style>
  <w:style w:type="character" w:styleId="IntenseReference">
    <w:name w:val="Intense Reference"/>
    <w:basedOn w:val="DefaultParagraphFont"/>
    <w:uiPriority w:val="32"/>
    <w:qFormat/>
    <w:rsid w:val="00BA6911"/>
    <w:rPr>
      <w:b/>
      <w:bCs/>
      <w:smallCaps/>
      <w:color w:val="2F5496" w:themeColor="accent1" w:themeShade="BF"/>
      <w:spacing w:val="5"/>
    </w:rPr>
  </w:style>
  <w:style w:type="table" w:styleId="TableGrid">
    <w:name w:val="Table Grid"/>
    <w:basedOn w:val="TableNormal"/>
    <w:uiPriority w:val="39"/>
    <w:rsid w:val="00BA6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CD5"/>
    <w:rPr>
      <w:color w:val="0563C1" w:themeColor="hyperlink"/>
      <w:u w:val="single"/>
    </w:rPr>
  </w:style>
  <w:style w:type="character" w:styleId="UnresolvedMention">
    <w:name w:val="Unresolved Mention"/>
    <w:basedOn w:val="DefaultParagraphFont"/>
    <w:uiPriority w:val="99"/>
    <w:semiHidden/>
    <w:unhideWhenUsed/>
    <w:rsid w:val="00362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BBD8A2-4DDC-49EE-AD6B-8E24924C3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E0699-F968-47B8-BD31-A8E13C64A9F3}">
  <ds:schemaRefs>
    <ds:schemaRef ds:uri="http://schemas.microsoft.com/sharepoint/v3/contenttype/forms"/>
  </ds:schemaRefs>
</ds:datastoreItem>
</file>

<file path=customXml/itemProps3.xml><?xml version="1.0" encoding="utf-8"?>
<ds:datastoreItem xmlns:ds="http://schemas.openxmlformats.org/officeDocument/2006/customXml" ds:itemID="{EE699B9F-8CA4-4678-9883-29C655A3894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Kumavat</dc:creator>
  <cp:keywords/>
  <dc:description/>
  <cp:lastModifiedBy>Tanya Yandall</cp:lastModifiedBy>
  <cp:revision>3</cp:revision>
  <dcterms:created xsi:type="dcterms:W3CDTF">2026-02-15T03:02:00Z</dcterms:created>
  <dcterms:modified xsi:type="dcterms:W3CDTF">2026-02-15T03:03:00Z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