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8640"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8640"/>
      </w:tblGrid>
      <w:tr w:rsidR="004E0760" w14:paraId="3DD9714D" w14:textId="77777777">
        <w:trPr>
          <w:trHeight w:val="56"/>
        </w:trPr>
        <w:tc>
          <w:tcPr>
            <w:tcW w:w="8640" w:type="dxa"/>
            <w:tcBorders>
              <w:top w:val="single" w:sz="3" w:space="0" w:color="0A0000"/>
              <w:left w:val="single" w:sz="3" w:space="0" w:color="0A0000"/>
              <w:bottom w:val="single" w:sz="3" w:space="0" w:color="0A0000"/>
              <w:right w:val="single" w:sz="3" w:space="0" w:color="0A0000"/>
            </w:tcBorders>
          </w:tcPr>
          <w:p w14:paraId="010F2A61" w14:textId="77777777" w:rsidR="004E0760" w:rsidRDefault="009035AE">
            <w:pPr>
              <w:pBdr>
                <w:top w:val="none" w:sz="2" w:space="1" w:color="000000"/>
                <w:left w:val="none" w:sz="2" w:space="4" w:color="000000"/>
                <w:bottom w:val="none" w:sz="2" w:space="1" w:color="000000"/>
                <w:right w:val="none" w:sz="2" w:space="4" w:color="000000"/>
              </w:pBdr>
              <w:snapToGrid w:val="0"/>
              <w:jc w:val="both"/>
            </w:pPr>
            <w:bookmarkStart w:id="0" w:name="_top"/>
            <w:bookmarkEnd w:id="0"/>
            <w:r>
              <w:rPr>
                <w:rFonts w:ascii="Arial"/>
                <w:b/>
                <w:sz w:val="22"/>
              </w:rPr>
              <w:t>Analysis of On-line News Articles on Women's Health Using Topic Modeling Technique</w:t>
            </w:r>
          </w:p>
        </w:tc>
      </w:tr>
      <w:tr w:rsidR="004E0760" w14:paraId="1F64DD25" w14:textId="77777777">
        <w:trPr>
          <w:trHeight w:val="7663"/>
        </w:trPr>
        <w:tc>
          <w:tcPr>
            <w:tcW w:w="8640" w:type="dxa"/>
            <w:tcBorders>
              <w:top w:val="single" w:sz="3" w:space="0" w:color="0A0000"/>
              <w:left w:val="single" w:sz="3" w:space="0" w:color="0A0000"/>
              <w:bottom w:val="single" w:sz="3" w:space="0" w:color="0A0000"/>
              <w:right w:val="single" w:sz="3" w:space="0" w:color="0A0000"/>
            </w:tcBorders>
          </w:tcPr>
          <w:p w14:paraId="59DC7B4D"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rPr>
                <w:b/>
              </w:rPr>
            </w:pPr>
            <w:r w:rsidRPr="009035AE">
              <w:rPr>
                <w:rFonts w:ascii="Arial"/>
                <w:b/>
                <w:sz w:val="22"/>
              </w:rPr>
              <w:t>Background/Objectives</w:t>
            </w:r>
          </w:p>
          <w:p w14:paraId="7A732697"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pPr>
            <w:r w:rsidRPr="009035AE">
              <w:rPr>
                <w:rFonts w:ascii="Arial"/>
                <w:sz w:val="22"/>
              </w:rPr>
              <w:t>In this paper, we tried to understand the flow of interest in the field of women's health through analysis of news articles on healthcare. Researches</w:t>
            </w:r>
            <w:r w:rsidRPr="009035AE">
              <w:rPr>
                <w:rFonts w:ascii="Arial"/>
                <w:sz w:val="22"/>
              </w:rPr>
              <w:t xml:space="preserve"> on the analysis of news articles on women's health have been conducted in the </w:t>
            </w:r>
            <w:proofErr w:type="gramStart"/>
            <w:r w:rsidRPr="009035AE">
              <w:rPr>
                <w:rFonts w:ascii="Arial"/>
                <w:sz w:val="22"/>
              </w:rPr>
              <w:t>past, but</w:t>
            </w:r>
            <w:proofErr w:type="gramEnd"/>
            <w:r w:rsidRPr="009035AE">
              <w:rPr>
                <w:rFonts w:ascii="Arial"/>
                <w:sz w:val="22"/>
              </w:rPr>
              <w:t xml:space="preserve"> were limited to contemporary analysis and only one kind of disease. Therefore, we have collected and analyzed articles that have dealt with women</w:t>
            </w:r>
            <w:r w:rsidRPr="009035AE">
              <w:rPr>
                <w:rFonts w:ascii="Arial"/>
                <w:sz w:val="22"/>
              </w:rPr>
              <w:t>’</w:t>
            </w:r>
            <w:r w:rsidRPr="009035AE">
              <w:rPr>
                <w:rFonts w:ascii="Arial"/>
                <w:sz w:val="22"/>
              </w:rPr>
              <w:t>s health related topi</w:t>
            </w:r>
            <w:r w:rsidRPr="009035AE">
              <w:rPr>
                <w:rFonts w:ascii="Arial"/>
                <w:sz w:val="22"/>
              </w:rPr>
              <w:t>cs in this paper. We would like chronologically to classify and examine how social issues related to women's health and diseases have changed by suddenly changing social environment.</w:t>
            </w:r>
          </w:p>
          <w:p w14:paraId="2E9C6518" w14:textId="77777777" w:rsidR="004E0760" w:rsidRPr="009035AE" w:rsidRDefault="004E0760">
            <w:pPr>
              <w:pBdr>
                <w:top w:val="none" w:sz="2" w:space="1" w:color="000000"/>
                <w:left w:val="none" w:sz="2" w:space="4" w:color="000000"/>
                <w:bottom w:val="none" w:sz="2" w:space="1" w:color="000000"/>
                <w:right w:val="none" w:sz="2" w:space="4" w:color="000000"/>
              </w:pBdr>
              <w:snapToGrid w:val="0"/>
              <w:jc w:val="both"/>
              <w:rPr>
                <w:rFonts w:ascii="Arial"/>
              </w:rPr>
            </w:pPr>
          </w:p>
          <w:p w14:paraId="40DF1579"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rPr>
                <w:b/>
              </w:rPr>
            </w:pPr>
            <w:r w:rsidRPr="009035AE">
              <w:rPr>
                <w:rFonts w:ascii="Arial"/>
                <w:b/>
                <w:sz w:val="22"/>
              </w:rPr>
              <w:t>Methods</w:t>
            </w:r>
          </w:p>
          <w:p w14:paraId="49478EEF"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pPr>
            <w:r w:rsidRPr="009035AE">
              <w:rPr>
                <w:rFonts w:ascii="Arial"/>
                <w:sz w:val="22"/>
              </w:rPr>
              <w:t>The online news articles were collected from selected news web-s</w:t>
            </w:r>
            <w:r w:rsidRPr="009035AE">
              <w:rPr>
                <w:rFonts w:ascii="Arial"/>
                <w:sz w:val="22"/>
              </w:rPr>
              <w:t xml:space="preserve">ites </w:t>
            </w:r>
            <w:proofErr w:type="gramStart"/>
            <w:r w:rsidRPr="009035AE">
              <w:rPr>
                <w:rFonts w:ascii="Arial"/>
                <w:sz w:val="22"/>
              </w:rPr>
              <w:t>and  the</w:t>
            </w:r>
            <w:proofErr w:type="gramEnd"/>
            <w:r w:rsidRPr="009035AE">
              <w:rPr>
                <w:rFonts w:ascii="Arial"/>
                <w:sz w:val="22"/>
              </w:rPr>
              <w:t xml:space="preserve"> saved data were preprocessed so that the analysis results can be accurately derived. Then the revised data by preproce</w:t>
            </w:r>
            <w:bookmarkStart w:id="1" w:name="_GoBack"/>
            <w:bookmarkEnd w:id="1"/>
            <w:r w:rsidRPr="009035AE">
              <w:rPr>
                <w:rFonts w:ascii="Arial"/>
                <w:sz w:val="22"/>
              </w:rPr>
              <w:t>ssing were analyzed using LDA algorithm and major topics representing the news articles were extracted from LDA analysis res</w:t>
            </w:r>
            <w:r w:rsidRPr="009035AE">
              <w:rPr>
                <w:rFonts w:ascii="Arial"/>
                <w:sz w:val="22"/>
              </w:rPr>
              <w:t>ults. Topic trends by year and period were analyzed using the extracted topics and inter-relationships of the extracted topics were analyzed too.</w:t>
            </w:r>
          </w:p>
          <w:p w14:paraId="594347B5" w14:textId="77777777" w:rsidR="004E0760" w:rsidRPr="009035AE" w:rsidRDefault="004E0760">
            <w:pPr>
              <w:pBdr>
                <w:top w:val="none" w:sz="2" w:space="1" w:color="000000"/>
                <w:left w:val="none" w:sz="2" w:space="4" w:color="000000"/>
                <w:bottom w:val="none" w:sz="2" w:space="1" w:color="000000"/>
                <w:right w:val="none" w:sz="2" w:space="4" w:color="000000"/>
              </w:pBdr>
              <w:snapToGrid w:val="0"/>
              <w:jc w:val="both"/>
              <w:rPr>
                <w:rFonts w:ascii="Arial"/>
              </w:rPr>
            </w:pPr>
          </w:p>
          <w:p w14:paraId="0522BF47"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rPr>
                <w:b/>
              </w:rPr>
            </w:pPr>
            <w:r w:rsidRPr="009035AE">
              <w:rPr>
                <w:rFonts w:ascii="Arial"/>
                <w:b/>
                <w:sz w:val="22"/>
              </w:rPr>
              <w:t>Results</w:t>
            </w:r>
          </w:p>
          <w:p w14:paraId="2110B613"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pPr>
            <w:r w:rsidRPr="009035AE">
              <w:rPr>
                <w:rFonts w:ascii="Arial"/>
                <w:sz w:val="22"/>
              </w:rPr>
              <w:t xml:space="preserve">From 1993 to 2000, 10 representative topics on women's health were identified. Topics of </w:t>
            </w:r>
            <w:r w:rsidRPr="009035AE">
              <w:rPr>
                <w:rFonts w:ascii="Arial"/>
                <w:sz w:val="22"/>
              </w:rPr>
              <w:t>‘</w:t>
            </w:r>
            <w:r w:rsidRPr="009035AE">
              <w:rPr>
                <w:rFonts w:ascii="Arial"/>
                <w:sz w:val="22"/>
              </w:rPr>
              <w:t>Cerebrovasc</w:t>
            </w:r>
            <w:r w:rsidRPr="009035AE">
              <w:rPr>
                <w:rFonts w:ascii="Arial"/>
                <w:sz w:val="22"/>
              </w:rPr>
              <w:t>ular disease</w:t>
            </w:r>
            <w:r w:rsidRPr="009035AE">
              <w:rPr>
                <w:rFonts w:ascii="Arial"/>
                <w:sz w:val="22"/>
              </w:rPr>
              <w:t>’</w:t>
            </w:r>
            <w:r w:rsidRPr="009035AE">
              <w:rPr>
                <w:rFonts w:ascii="Arial"/>
                <w:sz w:val="22"/>
              </w:rPr>
              <w:t xml:space="preserve">, </w:t>
            </w:r>
            <w:r w:rsidRPr="009035AE">
              <w:rPr>
                <w:rFonts w:ascii="Arial"/>
                <w:sz w:val="22"/>
              </w:rPr>
              <w:t>‘</w:t>
            </w:r>
            <w:r w:rsidRPr="009035AE">
              <w:rPr>
                <w:rFonts w:ascii="Arial"/>
                <w:sz w:val="22"/>
              </w:rPr>
              <w:t>Skin health</w:t>
            </w:r>
            <w:r w:rsidRPr="009035AE">
              <w:rPr>
                <w:rFonts w:ascii="Arial"/>
                <w:sz w:val="22"/>
              </w:rPr>
              <w:t>’</w:t>
            </w:r>
            <w:r w:rsidRPr="009035AE">
              <w:rPr>
                <w:rFonts w:ascii="Arial"/>
                <w:sz w:val="22"/>
              </w:rPr>
              <w:t xml:space="preserve">, </w:t>
            </w:r>
            <w:r w:rsidRPr="009035AE">
              <w:rPr>
                <w:rFonts w:ascii="Arial"/>
                <w:sz w:val="22"/>
              </w:rPr>
              <w:t>‘</w:t>
            </w:r>
            <w:r w:rsidRPr="009035AE">
              <w:rPr>
                <w:rFonts w:ascii="Arial"/>
                <w:sz w:val="22"/>
              </w:rPr>
              <w:t>Kidney disease</w:t>
            </w:r>
            <w:r w:rsidRPr="009035AE">
              <w:rPr>
                <w:rFonts w:ascii="Arial"/>
                <w:sz w:val="22"/>
              </w:rPr>
              <w:t>’</w:t>
            </w:r>
            <w:r w:rsidRPr="009035AE">
              <w:rPr>
                <w:rFonts w:ascii="Arial"/>
                <w:sz w:val="22"/>
              </w:rPr>
              <w:t xml:space="preserve">, </w:t>
            </w:r>
            <w:r w:rsidRPr="009035AE">
              <w:rPr>
                <w:rFonts w:ascii="Arial"/>
                <w:sz w:val="22"/>
              </w:rPr>
              <w:t>‘</w:t>
            </w:r>
            <w:r w:rsidRPr="009035AE">
              <w:rPr>
                <w:rFonts w:ascii="Arial"/>
                <w:sz w:val="22"/>
              </w:rPr>
              <w:t>Dietary supplement</w:t>
            </w:r>
            <w:r w:rsidRPr="009035AE">
              <w:rPr>
                <w:rFonts w:ascii="Arial"/>
                <w:sz w:val="22"/>
              </w:rPr>
              <w:t>’</w:t>
            </w:r>
            <w:r w:rsidRPr="009035AE">
              <w:rPr>
                <w:rFonts w:ascii="Arial"/>
                <w:sz w:val="22"/>
              </w:rPr>
              <w:t xml:space="preserve">, </w:t>
            </w:r>
            <w:r w:rsidRPr="009035AE">
              <w:rPr>
                <w:rFonts w:ascii="Arial"/>
                <w:sz w:val="22"/>
              </w:rPr>
              <w:t>‘</w:t>
            </w:r>
            <w:r w:rsidRPr="009035AE">
              <w:rPr>
                <w:rFonts w:ascii="Arial"/>
                <w:sz w:val="22"/>
              </w:rPr>
              <w:t>Thyroid disease</w:t>
            </w:r>
            <w:r w:rsidRPr="009035AE">
              <w:rPr>
                <w:rFonts w:ascii="Arial"/>
                <w:sz w:val="22"/>
              </w:rPr>
              <w:t>’</w:t>
            </w:r>
            <w:r w:rsidRPr="009035AE">
              <w:rPr>
                <w:rFonts w:ascii="Arial"/>
                <w:sz w:val="22"/>
              </w:rPr>
              <w:t xml:space="preserve">, and </w:t>
            </w:r>
            <w:r w:rsidRPr="009035AE">
              <w:rPr>
                <w:rFonts w:ascii="Arial"/>
                <w:sz w:val="22"/>
              </w:rPr>
              <w:t>‘</w:t>
            </w:r>
            <w:r w:rsidRPr="009035AE">
              <w:rPr>
                <w:rFonts w:ascii="Arial"/>
                <w:sz w:val="22"/>
              </w:rPr>
              <w:t>Lifestyle disease &amp; prevention</w:t>
            </w:r>
            <w:r w:rsidRPr="009035AE">
              <w:rPr>
                <w:rFonts w:ascii="Arial"/>
                <w:sz w:val="22"/>
              </w:rPr>
              <w:t>’</w:t>
            </w:r>
            <w:r w:rsidRPr="009035AE">
              <w:rPr>
                <w:rFonts w:ascii="Arial"/>
                <w:sz w:val="22"/>
              </w:rPr>
              <w:t xml:space="preserve">, were the newly emerging topics related to women's health since 2000. Looking at the main topics from 2006 to 2010, </w:t>
            </w:r>
            <w:r w:rsidRPr="009035AE">
              <w:rPr>
                <w:rFonts w:ascii="Arial"/>
                <w:sz w:val="22"/>
              </w:rPr>
              <w:t>‘</w:t>
            </w:r>
            <w:r w:rsidRPr="009035AE">
              <w:rPr>
                <w:rFonts w:ascii="Arial"/>
                <w:sz w:val="22"/>
              </w:rPr>
              <w:t>Hair loss</w:t>
            </w:r>
            <w:r w:rsidRPr="009035AE">
              <w:rPr>
                <w:rFonts w:ascii="Arial"/>
                <w:sz w:val="22"/>
              </w:rPr>
              <w:t>’</w:t>
            </w:r>
            <w:r w:rsidRPr="009035AE">
              <w:rPr>
                <w:rFonts w:ascii="Arial"/>
                <w:sz w:val="22"/>
              </w:rPr>
              <w:t xml:space="preserve">, </w:t>
            </w:r>
            <w:r w:rsidRPr="009035AE">
              <w:rPr>
                <w:rFonts w:ascii="Arial"/>
                <w:sz w:val="22"/>
              </w:rPr>
              <w:t>‘</w:t>
            </w:r>
            <w:r w:rsidRPr="009035AE">
              <w:rPr>
                <w:rFonts w:ascii="Arial"/>
                <w:sz w:val="22"/>
              </w:rPr>
              <w:t>Skin care</w:t>
            </w:r>
            <w:r w:rsidRPr="009035AE">
              <w:rPr>
                <w:rFonts w:ascii="Arial"/>
                <w:sz w:val="22"/>
              </w:rPr>
              <w:t>’</w:t>
            </w:r>
            <w:r w:rsidRPr="009035AE">
              <w:rPr>
                <w:rFonts w:ascii="Arial"/>
                <w:sz w:val="22"/>
              </w:rPr>
              <w:t xml:space="preserve">, and </w:t>
            </w:r>
            <w:r w:rsidRPr="009035AE">
              <w:rPr>
                <w:rFonts w:ascii="Arial"/>
                <w:sz w:val="22"/>
              </w:rPr>
              <w:t>‘</w:t>
            </w:r>
            <w:r w:rsidRPr="009035AE">
              <w:rPr>
                <w:rFonts w:ascii="Arial"/>
                <w:sz w:val="22"/>
              </w:rPr>
              <w:t>Beauty treatment</w:t>
            </w:r>
            <w:r w:rsidRPr="009035AE">
              <w:rPr>
                <w:rFonts w:ascii="Arial"/>
                <w:sz w:val="22"/>
              </w:rPr>
              <w:t>’</w:t>
            </w:r>
            <w:r w:rsidRPr="009035AE">
              <w:rPr>
                <w:rFonts w:ascii="Arial"/>
                <w:sz w:val="22"/>
              </w:rPr>
              <w:t xml:space="preserve"> were new topics. Especially, in the topic related to </w:t>
            </w:r>
            <w:r w:rsidRPr="009035AE">
              <w:rPr>
                <w:rFonts w:ascii="Arial"/>
                <w:sz w:val="22"/>
              </w:rPr>
              <w:t>‘</w:t>
            </w:r>
            <w:r w:rsidRPr="009035AE">
              <w:rPr>
                <w:rFonts w:ascii="Arial"/>
                <w:sz w:val="22"/>
              </w:rPr>
              <w:t>Lifestyle disease</w:t>
            </w:r>
            <w:r w:rsidRPr="009035AE">
              <w:rPr>
                <w:rFonts w:ascii="Arial"/>
                <w:sz w:val="22"/>
              </w:rPr>
              <w:t>’</w:t>
            </w:r>
            <w:r w:rsidRPr="009035AE">
              <w:rPr>
                <w:rFonts w:ascii="Arial"/>
                <w:sz w:val="22"/>
              </w:rPr>
              <w:t xml:space="preserve">, we found that several words related to prevention of infection against swine flu were extracted. Looking at the main topics from 2011 to 2015, </w:t>
            </w:r>
            <w:r w:rsidRPr="009035AE">
              <w:rPr>
                <w:rFonts w:ascii="Arial"/>
                <w:sz w:val="22"/>
              </w:rPr>
              <w:t>‘</w:t>
            </w:r>
            <w:r w:rsidRPr="009035AE">
              <w:rPr>
                <w:rFonts w:ascii="Arial"/>
                <w:sz w:val="22"/>
              </w:rPr>
              <w:t>Inf</w:t>
            </w:r>
            <w:r w:rsidRPr="009035AE">
              <w:rPr>
                <w:rFonts w:ascii="Arial"/>
                <w:sz w:val="22"/>
              </w:rPr>
              <w:t>ectious disease</w:t>
            </w:r>
            <w:r w:rsidRPr="009035AE">
              <w:rPr>
                <w:rFonts w:ascii="Arial"/>
                <w:sz w:val="22"/>
              </w:rPr>
              <w:t>’</w:t>
            </w:r>
            <w:r w:rsidRPr="009035AE">
              <w:rPr>
                <w:rFonts w:ascii="Arial"/>
                <w:sz w:val="22"/>
              </w:rPr>
              <w:t xml:space="preserve"> was a new topic. This also indicates that the social and personal interest in the MERS infection that caused the big wave for a while was high.</w:t>
            </w:r>
          </w:p>
          <w:p w14:paraId="1925C1FC" w14:textId="77777777" w:rsidR="004E0760" w:rsidRPr="009035AE" w:rsidRDefault="004E0760">
            <w:pPr>
              <w:pBdr>
                <w:top w:val="none" w:sz="2" w:space="1" w:color="000000"/>
                <w:left w:val="none" w:sz="2" w:space="4" w:color="000000"/>
                <w:bottom w:val="none" w:sz="2" w:space="1" w:color="000000"/>
                <w:right w:val="none" w:sz="2" w:space="4" w:color="000000"/>
              </w:pBdr>
              <w:snapToGrid w:val="0"/>
              <w:jc w:val="both"/>
              <w:rPr>
                <w:rFonts w:ascii="Arial"/>
              </w:rPr>
            </w:pPr>
          </w:p>
          <w:p w14:paraId="588F942C"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rPr>
                <w:b/>
              </w:rPr>
            </w:pPr>
            <w:r w:rsidRPr="009035AE">
              <w:rPr>
                <w:rFonts w:ascii="Arial"/>
                <w:b/>
                <w:sz w:val="22"/>
              </w:rPr>
              <w:t>Discussion</w:t>
            </w:r>
          </w:p>
          <w:p w14:paraId="17343B98"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pPr>
            <w:r w:rsidRPr="009035AE">
              <w:rPr>
                <w:rFonts w:ascii="Arial"/>
                <w:sz w:val="22"/>
              </w:rPr>
              <w:t>The characteristics of the 1990s were that healthcare was the mainstream rather tha</w:t>
            </w:r>
            <w:r w:rsidRPr="009035AE">
              <w:rPr>
                <w:rFonts w:ascii="Arial"/>
                <w:sz w:val="22"/>
              </w:rPr>
              <w:t xml:space="preserve">n specialized articles on topic areas. In the early 2000s, the topic related to beauty was comprehensive as a </w:t>
            </w:r>
            <w:r w:rsidRPr="009035AE">
              <w:rPr>
                <w:rFonts w:ascii="Arial"/>
                <w:sz w:val="22"/>
              </w:rPr>
              <w:t>‘</w:t>
            </w:r>
            <w:r w:rsidRPr="009035AE">
              <w:rPr>
                <w:rFonts w:ascii="Arial"/>
                <w:sz w:val="22"/>
              </w:rPr>
              <w:t>Dietary supplement</w:t>
            </w:r>
            <w:r w:rsidRPr="009035AE">
              <w:rPr>
                <w:rFonts w:ascii="Arial"/>
                <w:sz w:val="22"/>
              </w:rPr>
              <w:t>’</w:t>
            </w:r>
            <w:r w:rsidRPr="009035AE">
              <w:rPr>
                <w:rFonts w:ascii="Arial"/>
                <w:sz w:val="22"/>
              </w:rPr>
              <w:t xml:space="preserve">. By the late 2000s, beauty related topics began to be subdivided into </w:t>
            </w:r>
            <w:r w:rsidRPr="009035AE">
              <w:rPr>
                <w:rFonts w:ascii="Arial"/>
                <w:sz w:val="22"/>
              </w:rPr>
              <w:t>‘</w:t>
            </w:r>
            <w:r w:rsidRPr="009035AE">
              <w:rPr>
                <w:rFonts w:ascii="Arial"/>
                <w:sz w:val="22"/>
              </w:rPr>
              <w:t>Skin health</w:t>
            </w:r>
            <w:r w:rsidRPr="009035AE">
              <w:rPr>
                <w:rFonts w:ascii="Arial"/>
                <w:sz w:val="22"/>
              </w:rPr>
              <w:t>’</w:t>
            </w:r>
            <w:r w:rsidRPr="009035AE">
              <w:rPr>
                <w:rFonts w:ascii="Arial"/>
                <w:sz w:val="22"/>
              </w:rPr>
              <w:t xml:space="preserve">, </w:t>
            </w:r>
            <w:r w:rsidRPr="009035AE">
              <w:rPr>
                <w:rFonts w:ascii="Arial"/>
                <w:sz w:val="22"/>
              </w:rPr>
              <w:t>‘</w:t>
            </w:r>
            <w:r w:rsidRPr="009035AE">
              <w:rPr>
                <w:rFonts w:ascii="Arial"/>
                <w:sz w:val="22"/>
              </w:rPr>
              <w:t>Hair loss</w:t>
            </w:r>
            <w:r w:rsidRPr="009035AE">
              <w:rPr>
                <w:rFonts w:ascii="Arial"/>
                <w:sz w:val="22"/>
              </w:rPr>
              <w:t>’</w:t>
            </w:r>
            <w:r w:rsidRPr="009035AE">
              <w:rPr>
                <w:rFonts w:ascii="Arial"/>
                <w:sz w:val="22"/>
              </w:rPr>
              <w:t xml:space="preserve"> and </w:t>
            </w:r>
            <w:r w:rsidRPr="009035AE">
              <w:rPr>
                <w:rFonts w:ascii="Arial"/>
                <w:sz w:val="22"/>
              </w:rPr>
              <w:t>‘</w:t>
            </w:r>
            <w:r w:rsidRPr="009035AE">
              <w:rPr>
                <w:rFonts w:ascii="Arial"/>
                <w:sz w:val="22"/>
              </w:rPr>
              <w:t>Beauty treatment</w:t>
            </w:r>
            <w:r w:rsidRPr="009035AE">
              <w:rPr>
                <w:rFonts w:ascii="Arial"/>
                <w:sz w:val="22"/>
              </w:rPr>
              <w:t>’</w:t>
            </w:r>
            <w:r w:rsidRPr="009035AE">
              <w:rPr>
                <w:rFonts w:ascii="Arial"/>
                <w:sz w:val="22"/>
              </w:rPr>
              <w:t>. We c</w:t>
            </w:r>
            <w:r w:rsidRPr="009035AE">
              <w:rPr>
                <w:rFonts w:ascii="Arial"/>
                <w:sz w:val="22"/>
              </w:rPr>
              <w:t>ould find that healthcare service was represented by key words for hospitals and support groups in the early 2000s. In addition, we could find the foundations of medical services expanded to society and government by 2010 because e-health has been develope</w:t>
            </w:r>
            <w:r w:rsidRPr="009035AE">
              <w:rPr>
                <w:rFonts w:ascii="Arial"/>
                <w:sz w:val="22"/>
              </w:rPr>
              <w:t>d.</w:t>
            </w:r>
          </w:p>
          <w:p w14:paraId="49DF075E" w14:textId="77777777" w:rsidR="004E0760" w:rsidRPr="009035AE" w:rsidRDefault="004E0760">
            <w:pPr>
              <w:pBdr>
                <w:top w:val="none" w:sz="2" w:space="1" w:color="000000"/>
                <w:left w:val="none" w:sz="2" w:space="4" w:color="000000"/>
                <w:bottom w:val="none" w:sz="2" w:space="1" w:color="000000"/>
                <w:right w:val="none" w:sz="2" w:space="4" w:color="000000"/>
              </w:pBdr>
              <w:snapToGrid w:val="0"/>
              <w:jc w:val="both"/>
              <w:rPr>
                <w:rFonts w:ascii="Arial"/>
              </w:rPr>
            </w:pPr>
          </w:p>
          <w:p w14:paraId="0C2A7020"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rPr>
                <w:b/>
              </w:rPr>
            </w:pPr>
            <w:r w:rsidRPr="009035AE">
              <w:rPr>
                <w:rFonts w:ascii="Arial"/>
                <w:b/>
                <w:sz w:val="22"/>
              </w:rPr>
              <w:t>Keywords</w:t>
            </w:r>
          </w:p>
          <w:p w14:paraId="531C4055" w14:textId="77777777" w:rsidR="004E0760" w:rsidRPr="009035AE" w:rsidRDefault="009035AE">
            <w:pPr>
              <w:pBdr>
                <w:top w:val="none" w:sz="2" w:space="1" w:color="000000"/>
                <w:left w:val="none" w:sz="2" w:space="4" w:color="000000"/>
                <w:bottom w:val="none" w:sz="2" w:space="1" w:color="000000"/>
                <w:right w:val="none" w:sz="2" w:space="4" w:color="000000"/>
              </w:pBdr>
              <w:snapToGrid w:val="0"/>
              <w:jc w:val="both"/>
            </w:pPr>
            <w:r w:rsidRPr="009035AE">
              <w:rPr>
                <w:rFonts w:ascii="Arial"/>
                <w:sz w:val="22"/>
              </w:rPr>
              <w:t>Women</w:t>
            </w:r>
            <w:r w:rsidRPr="009035AE">
              <w:rPr>
                <w:rFonts w:ascii="Arial"/>
                <w:sz w:val="22"/>
              </w:rPr>
              <w:t>’</w:t>
            </w:r>
            <w:r w:rsidRPr="009035AE">
              <w:rPr>
                <w:rFonts w:ascii="Arial"/>
                <w:sz w:val="22"/>
              </w:rPr>
              <w:t>s health, On-line news article, Topic modeling, LDA</w:t>
            </w:r>
          </w:p>
          <w:p w14:paraId="7DDCEC5E" w14:textId="77777777" w:rsidR="004E0760" w:rsidRDefault="004E0760">
            <w:pPr>
              <w:pBdr>
                <w:top w:val="none" w:sz="2" w:space="1" w:color="000000"/>
                <w:left w:val="none" w:sz="2" w:space="4" w:color="000000"/>
                <w:bottom w:val="none" w:sz="2" w:space="1" w:color="000000"/>
                <w:right w:val="none" w:sz="2" w:space="4" w:color="000000"/>
              </w:pBdr>
              <w:snapToGrid w:val="0"/>
              <w:jc w:val="both"/>
              <w:rPr>
                <w:rFonts w:ascii="Arial"/>
              </w:rPr>
            </w:pPr>
          </w:p>
        </w:tc>
      </w:tr>
    </w:tbl>
    <w:p w14:paraId="7B8485D1" w14:textId="77777777" w:rsidR="004E0760" w:rsidRDefault="004E0760"/>
    <w:sectPr w:rsidR="004E0760">
      <w:footnotePr>
        <w:numFmt w:val="lowerRoman"/>
      </w:footnotePr>
      <w:endnotePr>
        <w:numFmt w:val="decimal"/>
      </w:endnotePr>
      <w:pgSz w:w="12240" w:h="15840"/>
      <w:pgMar w:top="1440" w:right="1800" w:bottom="1440" w:left="1800" w:header="708" w:footer="708"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한컴바탕">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32895"/>
    <w:multiLevelType w:val="multilevel"/>
    <w:tmpl w:val="1820D102"/>
    <w:lvl w:ilvl="0">
      <w:start w:val="1"/>
      <w:numFmt w:val="decimal"/>
      <w:pStyle w:val="Title"/>
      <w:suff w:val="space"/>
      <w:lvlText w:val=""/>
      <w:lvlJc w:val="left"/>
      <w:rPr>
        <w:rFonts w:ascii="한컴바탕" w:eastAsia="한컴바탕" w:hAnsi="한컴바탕"/>
        <w:color w:val="000000"/>
        <w:sz w:val="2"/>
      </w:rPr>
    </w:lvl>
    <w:lvl w:ilvl="1">
      <w:start w:val="1"/>
      <w:numFmt w:val="decimal"/>
      <w:suff w:val="space"/>
      <w:lvlText w:val=""/>
      <w:lvlJc w:val="left"/>
      <w:rPr>
        <w:rFonts w:ascii="한컴바탕" w:eastAsia="한컴바탕" w:hAnsi="한컴바탕"/>
        <w:color w:val="000000"/>
        <w:sz w:val="2"/>
      </w:rPr>
    </w:lvl>
    <w:lvl w:ilvl="2">
      <w:start w:val="1"/>
      <w:numFmt w:val="decimal"/>
      <w:suff w:val="space"/>
      <w:lvlText w:val=""/>
      <w:lvlJc w:val="left"/>
      <w:rPr>
        <w:rFonts w:ascii="한컴바탕" w:eastAsia="한컴바탕" w:hAnsi="한컴바탕"/>
        <w:color w:val="000000"/>
        <w:sz w:val="2"/>
      </w:rPr>
    </w:lvl>
    <w:lvl w:ilvl="3">
      <w:start w:val="1"/>
      <w:numFmt w:val="decimal"/>
      <w:suff w:val="space"/>
      <w:lvlText w:val=""/>
      <w:lvlJc w:val="left"/>
      <w:rPr>
        <w:rFonts w:ascii="한컴바탕" w:eastAsia="한컴바탕" w:hAnsi="한컴바탕"/>
        <w:color w:val="000000"/>
        <w:sz w:val="2"/>
      </w:rPr>
    </w:lvl>
    <w:lvl w:ilvl="4">
      <w:start w:val="1"/>
      <w:numFmt w:val="decimal"/>
      <w:suff w:val="space"/>
      <w:lvlText w:val=""/>
      <w:lvlJc w:val="left"/>
      <w:rPr>
        <w:rFonts w:ascii="한컴바탕" w:eastAsia="한컴바탕" w:hAnsi="한컴바탕"/>
        <w:color w:val="000000"/>
        <w:sz w:val="2"/>
      </w:rPr>
    </w:lvl>
    <w:lvl w:ilvl="5">
      <w:start w:val="1"/>
      <w:numFmt w:val="decimal"/>
      <w:suff w:val="space"/>
      <w:lvlText w:val=""/>
      <w:lvlJc w:val="left"/>
      <w:rPr>
        <w:rFonts w:ascii="한컴바탕" w:eastAsia="한컴바탕" w:hAnsi="한컴바탕"/>
        <w:color w:val="000000"/>
        <w:sz w:val="2"/>
      </w:rPr>
    </w:lvl>
    <w:lvl w:ilvl="6">
      <w:start w:val="1"/>
      <w:numFmt w:val="decimal"/>
      <w:suff w:val="space"/>
      <w:lvlText w:val=""/>
      <w:lvlJc w:val="left"/>
      <w:rPr>
        <w:rFonts w:ascii="한컴바탕" w:eastAsia="한컴바탕" w:hAnsi="한컴바탕"/>
        <w:color w:val="000000"/>
        <w:sz w:val="2"/>
      </w:r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numFmt w:val="lowerRoman"/>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60"/>
    <w:rsid w:val="004E0760"/>
    <w:rsid w:val="0090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2E99"/>
  <w15:docId w15:val="{7F19CC8E-41F0-4A04-B489-4A06DBF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aseline"/>
    </w:pPr>
    <w:rPr>
      <w:rFonts w:ascii="Times New Roman"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aseline"/>
    </w:pPr>
    <w:rPr>
      <w:rFonts w:ascii="Helvetica" w:eastAsia="Arial Unicode MS"/>
      <w:color w:val="000000"/>
    </w:rPr>
  </w:style>
  <w:style w:type="paragraph" w:styleId="BodyText">
    <w:name w:val="Body Text"/>
    <w:uiPriority w:val="2"/>
    <w:pPr>
      <w:widowControl w:val="0"/>
      <w:pBdr>
        <w:top w:val="none" w:sz="2" w:space="1" w:color="000000"/>
        <w:left w:val="none" w:sz="2" w:space="4" w:color="000000"/>
        <w:bottom w:val="none" w:sz="2" w:space="1" w:color="000000"/>
        <w:right w:val="none" w:sz="2" w:space="4" w:color="000000"/>
      </w:pBdr>
      <w:tabs>
        <w:tab w:val="left" w:pos="204"/>
      </w:tabs>
      <w:autoSpaceDE w:val="0"/>
      <w:autoSpaceDN w:val="0"/>
      <w:spacing w:after="0" w:line="419" w:lineRule="exact"/>
      <w:jc w:val="both"/>
      <w:textAlignment w:val="baseline"/>
    </w:pPr>
    <w:rPr>
      <w:rFonts w:ascii="Arial" w:eastAsia="Times New Roman"/>
      <w:b/>
      <w:color w:val="000000"/>
      <w:sz w:val="24"/>
    </w:rPr>
  </w:style>
  <w:style w:type="paragraph" w:styleId="BodyTextIndent">
    <w:name w:val="Body Text Indent"/>
    <w:uiPriority w:val="3"/>
    <w:pPr>
      <w:widowControl w:val="0"/>
      <w:pBdr>
        <w:top w:val="none" w:sz="2" w:space="1" w:color="000000"/>
        <w:left w:val="none" w:sz="2" w:space="4" w:color="000000"/>
        <w:bottom w:val="none" w:sz="2" w:space="1" w:color="000000"/>
        <w:right w:val="none" w:sz="2" w:space="4" w:color="000000"/>
      </w:pBdr>
      <w:autoSpaceDE w:val="0"/>
      <w:autoSpaceDN w:val="0"/>
      <w:spacing w:after="120" w:line="240" w:lineRule="auto"/>
      <w:ind w:left="283"/>
      <w:textAlignment w:val="baseline"/>
    </w:pPr>
    <w:rPr>
      <w:rFonts w:ascii="Times New Roman" w:eastAsia="Times New Roman"/>
      <w:color w:val="000000"/>
      <w:sz w:val="20"/>
    </w:rPr>
  </w:style>
  <w:style w:type="paragraph" w:customStyle="1" w:styleId="NoList1">
    <w:name w:val="No List1"/>
    <w:uiPriority w:val="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aseline"/>
    </w:pPr>
    <w:rPr>
      <w:rFonts w:ascii="Times New Roman" w:eastAsia="Times New Roman"/>
      <w:color w:val="000000"/>
      <w:sz w:val="20"/>
    </w:rPr>
  </w:style>
  <w:style w:type="paragraph" w:styleId="NormalWeb">
    <w:name w:val="Normal (Web)"/>
    <w:uiPriority w:val="6"/>
    <w:pPr>
      <w:widowControl w:val="0"/>
      <w:pBdr>
        <w:top w:val="none" w:sz="2" w:space="1" w:color="000000"/>
        <w:left w:val="none" w:sz="2" w:space="4" w:color="000000"/>
        <w:bottom w:val="none" w:sz="2" w:space="1" w:color="000000"/>
        <w:right w:val="none" w:sz="2" w:space="4" w:color="000000"/>
      </w:pBdr>
      <w:autoSpaceDE w:val="0"/>
      <w:autoSpaceDN w:val="0"/>
      <w:spacing w:before="300" w:after="300" w:line="240" w:lineRule="auto"/>
      <w:textAlignment w:val="baseline"/>
    </w:pPr>
    <w:rPr>
      <w:rFonts w:ascii="Times" w:eastAsia="Malgun Gothic"/>
      <w:color w:val="000000"/>
      <w:sz w:val="20"/>
    </w:rPr>
  </w:style>
  <w:style w:type="paragraph" w:styleId="Title">
    <w:name w:val="Title"/>
    <w:uiPriority w:val="10"/>
    <w:qFormat/>
    <w:pPr>
      <w:widowControl w:val="0"/>
      <w:numPr>
        <w:numId w:val="1"/>
      </w:numPr>
      <w:pBdr>
        <w:top w:val="none" w:sz="2" w:space="1" w:color="000000"/>
        <w:left w:val="none" w:sz="2" w:space="4" w:color="000000"/>
        <w:bottom w:val="none" w:sz="2" w:space="1" w:color="000000"/>
        <w:right w:val="none" w:sz="2" w:space="4" w:color="000000"/>
      </w:pBdr>
      <w:autoSpaceDE w:val="0"/>
      <w:autoSpaceDN w:val="0"/>
      <w:spacing w:after="0" w:line="240" w:lineRule="auto"/>
      <w:textAlignment w:val="baseline"/>
      <w:outlineLvl w:val="0"/>
    </w:pPr>
    <w:rPr>
      <w:rFonts w:ascii="Times New Roman" w:eastAsia="Times New Roman"/>
      <w:b/>
      <w:color w:val="000000"/>
      <w:spacing w:val="-7"/>
      <w:kern w:val="1"/>
      <w:sz w:val="24"/>
    </w:rPr>
  </w:style>
  <w:style w:type="paragraph" w:customStyle="1" w:styleId="address">
    <w:name w:val="address"/>
    <w:uiPriority w:val="8"/>
    <w:pPr>
      <w:widowControl w:val="0"/>
      <w:pBdr>
        <w:top w:val="none" w:sz="2" w:space="1" w:color="000000"/>
        <w:left w:val="none" w:sz="2" w:space="4" w:color="000000"/>
        <w:bottom w:val="none" w:sz="2" w:space="1" w:color="000000"/>
        <w:right w:val="none" w:sz="2" w:space="4" w:color="000000"/>
      </w:pBdr>
      <w:autoSpaceDE w:val="0"/>
      <w:autoSpaceDN w:val="0"/>
      <w:spacing w:after="0" w:line="240" w:lineRule="auto"/>
      <w:textAlignment w:val="baseline"/>
    </w:pPr>
    <w:rPr>
      <w:rFonts w:ascii="Times New Roman" w:eastAsia="Times New Roman"/>
      <w:color w:val="000000"/>
      <w:sz w:val="18"/>
    </w:rPr>
  </w:style>
  <w:style w:type="paragraph" w:customStyle="1" w:styleId="author">
    <w:name w:val="author"/>
    <w:uiPriority w:val="9"/>
    <w:pPr>
      <w:widowControl w:val="0"/>
      <w:pBdr>
        <w:top w:val="none" w:sz="2" w:space="1" w:color="000000"/>
        <w:left w:val="none" w:sz="2" w:space="4" w:color="000000"/>
        <w:bottom w:val="none" w:sz="2" w:space="1" w:color="000000"/>
        <w:right w:val="none" w:sz="2" w:space="4" w:color="000000"/>
      </w:pBdr>
      <w:autoSpaceDE w:val="0"/>
      <w:autoSpaceDN w:val="0"/>
      <w:spacing w:after="0" w:line="240" w:lineRule="auto"/>
      <w:textAlignment w:val="baseline"/>
    </w:pPr>
    <w:rPr>
      <w:rFonts w:ascii="Times New Roman"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63544-8853-488E-9F68-02C9492BD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7F605-CA76-47EC-863C-E18F690FF992}">
  <ds:schemaRefs>
    <ds:schemaRef ds:uri="http://schemas.microsoft.com/sharepoint/v3/contenttype/forms"/>
  </ds:schemaRefs>
</ds:datastoreItem>
</file>

<file path=customXml/itemProps3.xml><?xml version="1.0" encoding="utf-8"?>
<ds:datastoreItem xmlns:ds="http://schemas.openxmlformats.org/officeDocument/2006/customXml" ds:itemID="{204C346D-0515-4190-A5CF-E21B898ED00B}">
  <ds:schemaRefs>
    <ds:schemaRef ds:uri="http://schemas.microsoft.com/office/2006/documentManagement/types"/>
    <ds:schemaRef ds:uri="9c8a2b7b-0bee-4c48-b0a6-23db8982d3bc"/>
    <ds:schemaRef ds:uri="http://www.w3.org/XML/1998/namespace"/>
    <ds:schemaRef ds:uri="http://purl.org/dc/dcmitype/"/>
    <ds:schemaRef ds:uri="http://purl.org/dc/terms/"/>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2262</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2018-09-16T12:08:00Z</dcterms:created>
  <dcterms:modified xsi:type="dcterms:W3CDTF">2018-09-16T12:08:00Z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