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4A709C9" w:rsidR="001564A4" w:rsidRPr="0050053A" w:rsidRDefault="008163B5" w:rsidP="00712FD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D5C6C">
              <w:rPr>
                <w:rFonts w:ascii="Arial" w:hAnsi="Arial" w:cs="Arial"/>
                <w:b/>
                <w:sz w:val="22"/>
                <w:szCs w:val="22"/>
              </w:rPr>
              <w:t>“</w:t>
            </w:r>
            <w:bookmarkStart w:id="0" w:name="_GoBack"/>
            <w:bookmarkEnd w:id="0"/>
            <w:r w:rsidRPr="002D5C6C">
              <w:rPr>
                <w:rFonts w:ascii="Arial" w:hAnsi="Arial" w:cs="Arial"/>
                <w:b/>
                <w:sz w:val="22"/>
                <w:szCs w:val="22"/>
              </w:rPr>
              <w:t>5 Years of ILD-MDTs at an Australian Tertiary Specialist Centre”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A3B9659" w:rsidR="001564A4" w:rsidRPr="00413B94" w:rsidRDefault="008163B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Brooke Smith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</w:t>
            </w:r>
            <w:bookmarkStart w:id="1" w:name="Text8"/>
            <w:proofErr w:type="gramStart"/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,2</w:t>
            </w:r>
            <w:proofErr w:type="gramEnd"/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bookmarkEnd w:id="1"/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Kuan</w:t>
            </w:r>
            <w:proofErr w:type="spellEnd"/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Pin Lim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1,3</w:t>
            </w:r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, Ramon Sheehan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4,5</w:t>
            </w:r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, Amanda Segal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6</w:t>
            </w:r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, Grace Thompson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7,8</w:t>
            </w:r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Vidya</w:t>
            </w:r>
            <w:proofErr w:type="spellEnd"/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Navaratnam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1,9</w:t>
            </w:r>
            <w:r w:rsidRPr="006C2D3E">
              <w:rPr>
                <w:rFonts w:ascii="Arial" w:hAnsi="Arial" w:cs="Arial"/>
                <w:sz w:val="22"/>
                <w:szCs w:val="22"/>
                <w:lang w:eastAsia="en-GB"/>
              </w:rPr>
              <w:t>,Fiona Lake</w:t>
            </w:r>
            <w:r w:rsidRPr="006C2D3E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D085D7A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1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Respiratory Medicine, Sir Charles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Gairdner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Hospital, WA</w:t>
            </w:r>
          </w:p>
          <w:p w14:paraId="14F6D5F5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2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General Medicine, Sir Charles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Gairdner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Hospital, WA</w:t>
            </w:r>
          </w:p>
          <w:p w14:paraId="5C7ADA2A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3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St. John of God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Subiaco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Hospital, WA</w:t>
            </w:r>
          </w:p>
          <w:p w14:paraId="70106601" w14:textId="3E2AFEE8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4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Radiology, Sir Charles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Gairdner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Hospital, WA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. </w:t>
            </w:r>
          </w:p>
          <w:p w14:paraId="40263205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5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Perth Radiological Clinic, WA</w:t>
            </w:r>
          </w:p>
          <w:p w14:paraId="1459B4D3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6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Anatomical Pathology,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PathWest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Laboratory Medicine, QEII Medical Centre, WA</w:t>
            </w:r>
          </w:p>
          <w:p w14:paraId="507AAF4F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7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Immunology, Sir Charles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Gairdner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Hospital, WA</w:t>
            </w:r>
          </w:p>
          <w:p w14:paraId="0DA44D6F" w14:textId="77777777" w:rsidR="008163B5" w:rsidRPr="006C2D3E" w:rsidRDefault="008163B5" w:rsidP="008163B5">
            <w:pPr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8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Immunology, </w:t>
            </w:r>
            <w:proofErr w:type="spellStart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PathWest</w:t>
            </w:r>
            <w:proofErr w:type="spellEnd"/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QEII Medical Centre, WA</w:t>
            </w:r>
          </w:p>
          <w:p w14:paraId="45ED36BF" w14:textId="733B45BB" w:rsidR="001564A4" w:rsidRPr="0050053A" w:rsidRDefault="008163B5" w:rsidP="008163B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C2D3E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9</w:t>
            </w:r>
            <w:r w:rsidRPr="006C2D3E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University of Western Australia, WA</w:t>
            </w:r>
          </w:p>
        </w:tc>
      </w:tr>
      <w:tr w:rsidR="001564A4" w:rsidRPr="0050053A" w14:paraId="6DAF615A" w14:textId="77777777" w:rsidTr="00844413">
        <w:trPr>
          <w:trHeight w:hRule="exact" w:val="7169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6BCDE4F0" w14:textId="6A06CFB7" w:rsidR="008163B5" w:rsidRPr="006C2D3E" w:rsidRDefault="008163B5" w:rsidP="008163B5">
            <w:pPr>
              <w:rPr>
                <w:rFonts w:ascii="Arial" w:hAnsi="Arial" w:cs="Arial"/>
                <w:sz w:val="22"/>
                <w:szCs w:val="22"/>
              </w:rPr>
            </w:pPr>
            <w:r w:rsidRPr="006C2D3E">
              <w:rPr>
                <w:rFonts w:ascii="Arial" w:hAnsi="Arial" w:cs="Arial"/>
                <w:sz w:val="22"/>
                <w:szCs w:val="22"/>
              </w:rPr>
              <w:t xml:space="preserve">The interstitial lung disease (ILD) multidisciplinary team meeting (MDT) is the gold standard for diagnosis of Idiopathic Pulmonary Fibrosis (IPF) and increasingly, other ILDs. </w:t>
            </w:r>
            <w:r w:rsidR="009100D3">
              <w:rPr>
                <w:rFonts w:ascii="Arial" w:hAnsi="Arial" w:cs="Arial"/>
                <w:sz w:val="22"/>
                <w:szCs w:val="22"/>
              </w:rPr>
              <w:t>T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he MDT diagnosis is associated with a higher level of diagnostic confidence and </w:t>
            </w:r>
            <w:proofErr w:type="spellStart"/>
            <w:r w:rsidRPr="006C2D3E">
              <w:rPr>
                <w:rFonts w:ascii="Arial" w:hAnsi="Arial" w:cs="Arial"/>
                <w:sz w:val="22"/>
                <w:szCs w:val="22"/>
              </w:rPr>
              <w:t>interobserver</w:t>
            </w:r>
            <w:proofErr w:type="spellEnd"/>
            <w:r w:rsidRPr="006C2D3E">
              <w:rPr>
                <w:rFonts w:ascii="Arial" w:hAnsi="Arial" w:cs="Arial"/>
                <w:sz w:val="22"/>
                <w:szCs w:val="22"/>
              </w:rPr>
              <w:t xml:space="preserve"> agreement. We examined the first 5 years of the ILD MDT meetings at a tertiary hospital in Western Australia. We aim to: 1) ascertain patie</w:t>
            </w:r>
            <w:r>
              <w:rPr>
                <w:rFonts w:ascii="Arial" w:hAnsi="Arial" w:cs="Arial"/>
                <w:sz w:val="22"/>
                <w:szCs w:val="22"/>
              </w:rPr>
              <w:t xml:space="preserve">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characteristics,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2) evaluate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temporal trends in ILD diagnosis. </w:t>
            </w:r>
          </w:p>
          <w:p w14:paraId="1B39336E" w14:textId="5BC5611A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42FA2ED1" w14:textId="2C217B41" w:rsidR="008163B5" w:rsidRPr="006C2D3E" w:rsidRDefault="008163B5" w:rsidP="008163B5">
            <w:pPr>
              <w:rPr>
                <w:rFonts w:ascii="Arial" w:hAnsi="Arial" w:cs="Arial"/>
                <w:sz w:val="22"/>
                <w:szCs w:val="22"/>
              </w:rPr>
            </w:pPr>
            <w:r w:rsidRPr="006C2D3E">
              <w:rPr>
                <w:rFonts w:ascii="Arial" w:hAnsi="Arial" w:cs="Arial"/>
                <w:sz w:val="22"/>
                <w:szCs w:val="22"/>
              </w:rPr>
              <w:t xml:space="preserve">This is a single centre retrospective audit of the weekly ILD MDT at Sir Charles </w:t>
            </w:r>
            <w:proofErr w:type="spellStart"/>
            <w:r w:rsidRPr="006C2D3E">
              <w:rPr>
                <w:rFonts w:ascii="Arial" w:hAnsi="Arial" w:cs="Arial"/>
                <w:sz w:val="22"/>
                <w:szCs w:val="22"/>
              </w:rPr>
              <w:t>Gairdner</w:t>
            </w:r>
            <w:proofErr w:type="spellEnd"/>
            <w:r w:rsidRPr="006C2D3E">
              <w:rPr>
                <w:rFonts w:ascii="Arial" w:hAnsi="Arial" w:cs="Arial"/>
                <w:sz w:val="22"/>
                <w:szCs w:val="22"/>
              </w:rPr>
              <w:t xml:space="preserve"> Hospital over the period from November 2016 to November 2021. Initial data retrieval was from electronic records of ILD MDT </w:t>
            </w:r>
            <w:proofErr w:type="spellStart"/>
            <w:r w:rsidRPr="006C2D3E">
              <w:rPr>
                <w:rFonts w:ascii="Arial" w:hAnsi="Arial" w:cs="Arial"/>
                <w:sz w:val="22"/>
                <w:szCs w:val="22"/>
              </w:rPr>
              <w:t>proformas</w:t>
            </w:r>
            <w:proofErr w:type="spellEnd"/>
            <w:r w:rsidRPr="006C2D3E">
              <w:rPr>
                <w:rFonts w:ascii="Arial" w:hAnsi="Arial" w:cs="Arial"/>
                <w:sz w:val="22"/>
                <w:szCs w:val="22"/>
              </w:rPr>
              <w:t xml:space="preserve">. Descriptive statistics were utilised to evaluate the data. </w:t>
            </w:r>
          </w:p>
          <w:p w14:paraId="006F2564" w14:textId="77777777" w:rsidR="008163B5" w:rsidRPr="008163B5" w:rsidRDefault="008163B5" w:rsidP="008163B5">
            <w:pPr>
              <w:pStyle w:val="Default"/>
            </w:pPr>
          </w:p>
          <w:p w14:paraId="6BF3F094" w14:textId="77777777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3808F8A5" w:rsidR="001564A4" w:rsidRDefault="008163B5" w:rsidP="008163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5-</w:t>
            </w:r>
            <w:r>
              <w:rPr>
                <w:rFonts w:ascii="Arial" w:hAnsi="Arial" w:cs="Arial"/>
                <w:sz w:val="22"/>
                <w:szCs w:val="22"/>
              </w:rPr>
              <w:t>years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674 new cases were assessed for suspected IL</w:t>
            </w:r>
            <w:r w:rsidR="009100D3">
              <w:rPr>
                <w:rFonts w:ascii="Arial" w:hAnsi="Arial" w:cs="Arial"/>
                <w:sz w:val="22"/>
                <w:szCs w:val="22"/>
              </w:rPr>
              <w:t xml:space="preserve">D. 48% were female, 52% were male; the average age was </w:t>
            </w: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94%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of cases received a formal diagnosis</w:t>
            </w:r>
            <w:proofErr w:type="gramStart"/>
            <w:r w:rsidRPr="006C2D3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C2D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00D3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sz w:val="22"/>
                <w:szCs w:val="22"/>
              </w:rPr>
              <w:t>6%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being deemed unclassifiable. 32% </w:t>
            </w:r>
            <w:r w:rsidR="009100D3">
              <w:rPr>
                <w:rFonts w:ascii="Arial" w:hAnsi="Arial" w:cs="Arial"/>
                <w:sz w:val="22"/>
                <w:szCs w:val="22"/>
              </w:rPr>
              <w:t>were diagnosed with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IPF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6C2D3E">
              <w:rPr>
                <w:rFonts w:ascii="Arial" w:hAnsi="Arial" w:cs="Arial"/>
                <w:sz w:val="22"/>
                <w:szCs w:val="22"/>
              </w:rPr>
              <w:t>11%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D3E">
              <w:rPr>
                <w:rFonts w:ascii="Arial" w:hAnsi="Arial" w:cs="Arial"/>
                <w:sz w:val="22"/>
                <w:szCs w:val="22"/>
              </w:rPr>
              <w:t>were diagnosed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CT-ILD. T</w:t>
            </w:r>
            <w:r w:rsidRPr="006C2D3E">
              <w:rPr>
                <w:rFonts w:ascii="Arial" w:hAnsi="Arial" w:cs="Arial"/>
                <w:sz w:val="22"/>
                <w:szCs w:val="22"/>
              </w:rPr>
              <w:t>he number of cases discussed per year doubled and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he number of </w:t>
            </w:r>
            <w:r>
              <w:rPr>
                <w:rFonts w:ascii="Arial" w:hAnsi="Arial" w:cs="Arial"/>
                <w:sz w:val="22"/>
                <w:szCs w:val="22"/>
              </w:rPr>
              <w:t xml:space="preserve">IPF diagnoses 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increased by 1.5x. 74 cases were rediscussed; of those cases </w:t>
            </w:r>
            <w:r>
              <w:rPr>
                <w:rFonts w:ascii="Arial" w:hAnsi="Arial" w:cs="Arial"/>
                <w:sz w:val="22"/>
                <w:szCs w:val="22"/>
              </w:rPr>
              <w:t>45%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had their diagnosis changed.</w:t>
            </w:r>
            <w:r w:rsidRPr="006C2D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16D43B" w14:textId="77777777" w:rsidR="008163B5" w:rsidRPr="0050053A" w:rsidRDefault="008163B5" w:rsidP="008163B5">
            <w:pPr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00392EB7" w14:textId="77777777" w:rsidR="009100D3" w:rsidRDefault="008163B5" w:rsidP="009100D3">
            <w:pPr>
              <w:rPr>
                <w:rFonts w:ascii="Arial" w:hAnsi="Arial" w:cs="Arial"/>
                <w:sz w:val="22"/>
                <w:szCs w:val="22"/>
              </w:rPr>
            </w:pPr>
            <w:r w:rsidRPr="006C2D3E">
              <w:rPr>
                <w:rFonts w:ascii="Arial" w:hAnsi="Arial" w:cs="Arial"/>
                <w:sz w:val="22"/>
                <w:szCs w:val="22"/>
              </w:rPr>
              <w:t>The ILD MDT at our centre plays a vital role in diagnosis and management of our ILD patients. It has grown in prominence and volume over the first 5 years. Further review into medical records beyond the MDT summaries is planned to assess service provision in part</w:t>
            </w:r>
            <w:r w:rsidR="009100D3">
              <w:rPr>
                <w:rFonts w:ascii="Arial" w:hAnsi="Arial" w:cs="Arial"/>
                <w:sz w:val="22"/>
                <w:szCs w:val="22"/>
              </w:rPr>
              <w:t>icular regarding re-discussants.</w:t>
            </w:r>
          </w:p>
          <w:p w14:paraId="7F8381F0" w14:textId="120A7A29" w:rsidR="001564A4" w:rsidRPr="009100D3" w:rsidRDefault="009100D3" w:rsidP="009100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Grant Support: </w:t>
            </w:r>
            <w:r>
              <w:rPr>
                <w:rFonts w:ascii="Arial" w:hAnsi="Arial" w:cs="Arial"/>
                <w:sz w:val="22"/>
                <w:szCs w:val="22"/>
              </w:rPr>
              <w:t>Nil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A4"/>
    <w:rsid w:val="000B68C1"/>
    <w:rsid w:val="001564A4"/>
    <w:rsid w:val="0051574E"/>
    <w:rsid w:val="00712FDF"/>
    <w:rsid w:val="008163B5"/>
    <w:rsid w:val="00844413"/>
    <w:rsid w:val="008803FA"/>
    <w:rsid w:val="009100D3"/>
    <w:rsid w:val="00B12E32"/>
    <w:rsid w:val="00E0700F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503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Brooke Smith</cp:lastModifiedBy>
  <cp:revision>6</cp:revision>
  <dcterms:created xsi:type="dcterms:W3CDTF">2023-10-18T11:26:00Z</dcterms:created>
  <dcterms:modified xsi:type="dcterms:W3CDTF">2023-10-18T11:38:00Z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