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4FED29D5" w14:textId="0E647A38" w:rsidR="00C8423A" w:rsidRPr="00155162" w:rsidRDefault="00155162" w:rsidP="00706DED">
            <w:pPr>
              <w:jc w:val="both"/>
              <w:rPr>
                <w:rFonts w:ascii="Arial" w:hAnsi="Arial" w:cs="Arial"/>
                <w:bCs/>
                <w:i/>
                <w:iCs/>
                <w:sz w:val="22"/>
                <w:szCs w:val="22"/>
              </w:rPr>
            </w:pPr>
            <w:r w:rsidRPr="00155162">
              <w:rPr>
                <w:rFonts w:ascii="Arial" w:hAnsi="Arial" w:cs="Arial"/>
                <w:bCs/>
                <w:i/>
                <w:iCs/>
                <w:sz w:val="22"/>
                <w:szCs w:val="22"/>
              </w:rPr>
              <w:t>Paper</w:t>
            </w:r>
          </w:p>
          <w:p w14:paraId="14944AB2" w14:textId="77777777" w:rsidR="00C8423A" w:rsidRDefault="000503F5" w:rsidP="0065012F">
            <w:pPr>
              <w:tabs>
                <w:tab w:val="left" w:pos="3386"/>
              </w:tabs>
              <w:jc w:val="both"/>
              <w:rPr>
                <w:rFonts w:ascii="Arial" w:hAnsi="Arial" w:cs="Arial"/>
                <w:b/>
                <w:bCs/>
                <w:sz w:val="22"/>
                <w:szCs w:val="22"/>
              </w:rPr>
            </w:pPr>
            <w:r w:rsidRPr="000503F5">
              <w:rPr>
                <w:rFonts w:ascii="Arial" w:hAnsi="Arial" w:cs="Arial"/>
                <w:b/>
                <w:bCs/>
                <w:sz w:val="22"/>
                <w:szCs w:val="22"/>
              </w:rPr>
              <w:t>Changes in environmental and economic benefits caused by land use policies in the East Asian monsoon region</w:t>
            </w:r>
          </w:p>
          <w:p w14:paraId="3F7D1534" w14:textId="041CB9C6" w:rsidR="00155162" w:rsidRPr="009C75AE" w:rsidRDefault="00155162" w:rsidP="0065012F">
            <w:pPr>
              <w:tabs>
                <w:tab w:val="left" w:pos="3386"/>
              </w:tabs>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65A278DB" w14:textId="77777777" w:rsidR="00C8423A" w:rsidRDefault="00C8423A" w:rsidP="00706DED">
            <w:pPr>
              <w:jc w:val="both"/>
              <w:rPr>
                <w:rFonts w:ascii="Arial" w:hAnsi="Arial" w:cs="Arial"/>
                <w:b/>
                <w:sz w:val="22"/>
                <w:szCs w:val="22"/>
              </w:rPr>
            </w:pPr>
          </w:p>
          <w:p w14:paraId="131A5F05" w14:textId="7777777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4806BFDB" w14:textId="6D9930F7" w:rsidR="0065012F" w:rsidRDefault="000503F5" w:rsidP="00706DED">
            <w:pPr>
              <w:jc w:val="both"/>
              <w:rPr>
                <w:rFonts w:ascii="Arial" w:hAnsi="Arial" w:cs="Arial"/>
                <w:bCs/>
                <w:sz w:val="22"/>
                <w:szCs w:val="22"/>
              </w:rPr>
            </w:pPr>
            <w:r w:rsidRPr="000503F5">
              <w:rPr>
                <w:rFonts w:ascii="Arial" w:hAnsi="Arial" w:cs="Arial"/>
                <w:bCs/>
                <w:sz w:val="22"/>
                <w:szCs w:val="22"/>
              </w:rPr>
              <w:t>Terrestrial ecosystems are critical in mitigating climate change by offsetting human-induced carbon emissions. Particularly, land cover and land use (LCLU) changes impact on the carbon balance of vegetation. Given the widespread human-induced LCLU changes in the East Asian monsoon region, it is necessary to assess the changes in vegetation carbon storage and their associated economic benefits under different land use policies.</w:t>
            </w:r>
          </w:p>
          <w:p w14:paraId="00A5BC36" w14:textId="77777777" w:rsidR="0007635D" w:rsidRPr="000503F5" w:rsidRDefault="0007635D" w:rsidP="00706DED">
            <w:pPr>
              <w:jc w:val="both"/>
              <w:rPr>
                <w:rFonts w:ascii="Arial" w:hAnsi="Arial" w:cs="Arial"/>
                <w:bCs/>
                <w:sz w:val="22"/>
                <w:szCs w:val="22"/>
              </w:rPr>
            </w:pP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7DF7D437" w14:textId="6C3C9E3A" w:rsidR="0065012F" w:rsidRDefault="000503F5" w:rsidP="00706DED">
            <w:pPr>
              <w:jc w:val="both"/>
              <w:rPr>
                <w:rFonts w:ascii="Arial" w:hAnsi="Arial" w:cs="Arial"/>
                <w:bCs/>
                <w:sz w:val="22"/>
                <w:szCs w:val="22"/>
              </w:rPr>
            </w:pPr>
            <w:r w:rsidRPr="000503F5">
              <w:rPr>
                <w:rFonts w:ascii="Arial" w:hAnsi="Arial" w:cs="Arial"/>
                <w:bCs/>
                <w:sz w:val="22"/>
                <w:szCs w:val="22"/>
              </w:rPr>
              <w:t>In this study, we quantified the vegetation carbon storage</w:t>
            </w:r>
            <w:r w:rsidR="00B6721E">
              <w:rPr>
                <w:rFonts w:ascii="Arial" w:eastAsia="Malgun Gothic" w:hAnsi="Arial" w:cs="Arial" w:hint="eastAsia"/>
                <w:bCs/>
                <w:sz w:val="22"/>
                <w:szCs w:val="22"/>
                <w:lang w:eastAsia="ko-KR"/>
              </w:rPr>
              <w:t xml:space="preserve"> and economic benefits</w:t>
            </w:r>
            <w:r w:rsidRPr="000503F5">
              <w:rPr>
                <w:rFonts w:ascii="Arial" w:hAnsi="Arial" w:cs="Arial"/>
                <w:bCs/>
                <w:sz w:val="22"/>
                <w:szCs w:val="22"/>
              </w:rPr>
              <w:t xml:space="preserve"> </w:t>
            </w:r>
            <w:r w:rsidR="00B6721E">
              <w:rPr>
                <w:rFonts w:ascii="Arial" w:eastAsia="Malgun Gothic" w:hAnsi="Arial" w:cs="Arial" w:hint="eastAsia"/>
                <w:bCs/>
                <w:sz w:val="22"/>
                <w:szCs w:val="22"/>
                <w:lang w:eastAsia="ko-KR"/>
              </w:rPr>
              <w:t xml:space="preserve">cause by LCLU changes </w:t>
            </w:r>
            <w:r w:rsidRPr="000503F5">
              <w:rPr>
                <w:rFonts w:ascii="Arial" w:hAnsi="Arial" w:cs="Arial"/>
                <w:bCs/>
                <w:sz w:val="22"/>
                <w:szCs w:val="22"/>
              </w:rPr>
              <w:t>in the Sichuan region and the marginal areas of Inner Mongolia within the East Asian monsoon region. Based on the implementation of China’s reforestation policy in 1999, we compared two periods (1982–1998 and 1999–2015).</w:t>
            </w:r>
          </w:p>
          <w:p w14:paraId="2848556E" w14:textId="77777777" w:rsidR="0007635D" w:rsidRPr="000503F5" w:rsidRDefault="0007635D" w:rsidP="00706DED">
            <w:pPr>
              <w:jc w:val="both"/>
              <w:rPr>
                <w:rFonts w:ascii="Arial" w:hAnsi="Arial" w:cs="Arial"/>
                <w:bCs/>
                <w:sz w:val="22"/>
                <w:szCs w:val="22"/>
              </w:rPr>
            </w:pP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7C0B3F0A" w14:textId="25059C89" w:rsidR="00B6721E" w:rsidRDefault="00153CDF" w:rsidP="00706DED">
            <w:pPr>
              <w:jc w:val="both"/>
              <w:rPr>
                <w:rFonts w:ascii="Arial" w:eastAsia="Malgun Gothic" w:hAnsi="Arial" w:cs="Arial"/>
                <w:bCs/>
                <w:sz w:val="22"/>
                <w:szCs w:val="22"/>
                <w:lang w:eastAsia="ko-KR"/>
              </w:rPr>
            </w:pPr>
            <w:r w:rsidRPr="00153CDF">
              <w:rPr>
                <w:rFonts w:ascii="Arial" w:hAnsi="Arial" w:cs="Arial"/>
                <w:bCs/>
                <w:sz w:val="22"/>
                <w:szCs w:val="22"/>
              </w:rPr>
              <w:t xml:space="preserve">This study </w:t>
            </w:r>
            <w:r>
              <w:rPr>
                <w:rFonts w:ascii="Arial" w:eastAsia="Malgun Gothic" w:hAnsi="Arial" w:cs="Arial" w:hint="eastAsia"/>
                <w:bCs/>
                <w:sz w:val="22"/>
                <w:szCs w:val="22"/>
                <w:lang w:eastAsia="ko-KR"/>
              </w:rPr>
              <w:t xml:space="preserve">explored </w:t>
            </w:r>
            <w:r w:rsidRPr="00153CDF">
              <w:rPr>
                <w:rFonts w:ascii="Arial" w:hAnsi="Arial" w:cs="Arial"/>
                <w:bCs/>
                <w:sz w:val="22"/>
                <w:szCs w:val="22"/>
              </w:rPr>
              <w:t>vegetation carbon storage changes induced by anthropogenic</w:t>
            </w:r>
            <w:r>
              <w:rPr>
                <w:rFonts w:ascii="Arial" w:eastAsia="Malgun Gothic" w:hAnsi="Arial" w:cs="Arial" w:hint="eastAsia"/>
                <w:bCs/>
                <w:sz w:val="22"/>
                <w:szCs w:val="22"/>
                <w:lang w:eastAsia="ko-KR"/>
              </w:rPr>
              <w:t xml:space="preserve"> </w:t>
            </w:r>
            <w:r w:rsidRPr="00153CDF">
              <w:rPr>
                <w:rFonts w:ascii="Arial" w:hAnsi="Arial" w:cs="Arial"/>
                <w:bCs/>
                <w:sz w:val="22"/>
                <w:szCs w:val="22"/>
              </w:rPr>
              <w:t xml:space="preserve">LCLU transitions in the Sichuan region and the </w:t>
            </w:r>
            <w:r>
              <w:rPr>
                <w:rFonts w:ascii="Arial" w:eastAsia="Malgun Gothic" w:hAnsi="Arial" w:cs="Arial" w:hint="eastAsia"/>
                <w:bCs/>
                <w:sz w:val="22"/>
                <w:szCs w:val="22"/>
                <w:lang w:eastAsia="ko-KR"/>
              </w:rPr>
              <w:t>marginal areas</w:t>
            </w:r>
            <w:r w:rsidRPr="00153CDF">
              <w:rPr>
                <w:rFonts w:ascii="Arial" w:hAnsi="Arial" w:cs="Arial"/>
                <w:bCs/>
                <w:sz w:val="22"/>
                <w:szCs w:val="22"/>
              </w:rPr>
              <w:t xml:space="preserve"> of Inner Mongolia. We adapted a previous vegetation carbon storage equation by incorporating </w:t>
            </w:r>
            <w:r>
              <w:rPr>
                <w:rFonts w:ascii="Arial" w:eastAsia="Malgun Gothic" w:hAnsi="Arial" w:cs="Arial"/>
                <w:bCs/>
                <w:sz w:val="22"/>
                <w:szCs w:val="22"/>
                <w:lang w:eastAsia="ko-KR"/>
              </w:rPr>
              <w:t xml:space="preserve">fractional </w:t>
            </w:r>
            <w:r w:rsidRPr="00153CDF">
              <w:rPr>
                <w:rFonts w:ascii="Arial" w:hAnsi="Arial" w:cs="Arial"/>
                <w:bCs/>
                <w:sz w:val="22"/>
                <w:szCs w:val="22"/>
              </w:rPr>
              <w:t xml:space="preserve">changes for each LCLU type. This modified approach precisely quantifies the impact of different </w:t>
            </w:r>
            <w:r>
              <w:rPr>
                <w:rFonts w:ascii="Arial" w:eastAsia="Malgun Gothic" w:hAnsi="Arial" w:cs="Arial" w:hint="eastAsia"/>
                <w:bCs/>
                <w:sz w:val="22"/>
                <w:szCs w:val="22"/>
                <w:lang w:eastAsia="ko-KR"/>
              </w:rPr>
              <w:t>LCLU</w:t>
            </w:r>
            <w:r w:rsidRPr="00153CDF">
              <w:rPr>
                <w:rFonts w:ascii="Arial" w:hAnsi="Arial" w:cs="Arial"/>
                <w:bCs/>
                <w:sz w:val="22"/>
                <w:szCs w:val="22"/>
              </w:rPr>
              <w:t xml:space="preserve"> categories on overall vegetation carbon storage dynamics, providing a robust framework for assessing the influence of human activities on regional carbon storage.</w:t>
            </w:r>
            <w:r w:rsidR="00B6721E">
              <w:rPr>
                <w:rFonts w:ascii="Arial" w:eastAsia="Malgun Gothic" w:hAnsi="Arial" w:cs="Arial" w:hint="eastAsia"/>
                <w:bCs/>
                <w:sz w:val="22"/>
                <w:szCs w:val="22"/>
                <w:lang w:eastAsia="ko-KR"/>
              </w:rPr>
              <w:t xml:space="preserve"> </w:t>
            </w:r>
            <w:r w:rsidR="00B6721E" w:rsidRPr="00B6721E">
              <w:rPr>
                <w:rFonts w:ascii="Arial" w:eastAsia="Malgun Gothic" w:hAnsi="Arial" w:cs="Arial"/>
                <w:bCs/>
                <w:sz w:val="22"/>
                <w:szCs w:val="22"/>
                <w:lang w:eastAsia="ko-KR"/>
              </w:rPr>
              <w:t xml:space="preserve">We </w:t>
            </w:r>
            <w:r w:rsidR="00B6721E">
              <w:rPr>
                <w:rFonts w:ascii="Arial" w:eastAsia="Malgun Gothic" w:hAnsi="Arial" w:cs="Arial" w:hint="eastAsia"/>
                <w:bCs/>
                <w:sz w:val="22"/>
                <w:szCs w:val="22"/>
                <w:lang w:eastAsia="ko-KR"/>
              </w:rPr>
              <w:t>calculated</w:t>
            </w:r>
            <w:r w:rsidR="00B6721E" w:rsidRPr="00B6721E">
              <w:rPr>
                <w:rFonts w:ascii="Arial" w:eastAsia="Malgun Gothic" w:hAnsi="Arial" w:cs="Arial"/>
                <w:bCs/>
                <w:sz w:val="22"/>
                <w:szCs w:val="22"/>
                <w:lang w:eastAsia="ko-KR"/>
              </w:rPr>
              <w:t xml:space="preserve"> the economic benefits of vegetation carbon storage changes</w:t>
            </w:r>
            <w:r w:rsidR="00B6721E">
              <w:rPr>
                <w:rFonts w:ascii="Arial" w:eastAsia="Malgun Gothic" w:hAnsi="Arial" w:cs="Arial" w:hint="eastAsia"/>
                <w:bCs/>
                <w:sz w:val="22"/>
                <w:szCs w:val="22"/>
                <w:lang w:eastAsia="ko-KR"/>
              </w:rPr>
              <w:t xml:space="preserve"> due to the </w:t>
            </w:r>
            <w:r w:rsidR="00B6721E" w:rsidRPr="00B6721E">
              <w:rPr>
                <w:rFonts w:ascii="Arial" w:eastAsia="Malgun Gothic" w:hAnsi="Arial" w:cs="Arial"/>
                <w:bCs/>
                <w:sz w:val="22"/>
                <w:szCs w:val="22"/>
                <w:lang w:eastAsia="ko-KR"/>
              </w:rPr>
              <w:t>LCLU transitions by converting the internationally used CO</w:t>
            </w:r>
            <w:r w:rsidR="00B6721E" w:rsidRPr="00B6721E">
              <w:rPr>
                <w:rFonts w:ascii="Arial" w:eastAsia="Malgun Gothic" w:hAnsi="Arial" w:cs="Arial" w:hint="eastAsia"/>
                <w:bCs/>
                <w:sz w:val="22"/>
                <w:szCs w:val="22"/>
                <w:lang w:eastAsia="ko-KR"/>
              </w:rPr>
              <w:t>₂</w:t>
            </w:r>
            <w:r w:rsidR="00B6721E">
              <w:rPr>
                <w:rFonts w:ascii="Arial" w:eastAsia="Malgun Gothic" w:hAnsi="Arial" w:cs="Arial" w:hint="eastAsia"/>
                <w:bCs/>
                <w:sz w:val="22"/>
                <w:szCs w:val="22"/>
                <w:lang w:eastAsia="ko-KR"/>
              </w:rPr>
              <w:t xml:space="preserve">/t </w:t>
            </w:r>
            <w:r w:rsidR="00B6721E" w:rsidRPr="00B6721E">
              <w:rPr>
                <w:rFonts w:ascii="Arial" w:eastAsia="Malgun Gothic" w:hAnsi="Arial" w:cs="Arial"/>
                <w:bCs/>
                <w:sz w:val="22"/>
                <w:szCs w:val="22"/>
                <w:lang w:eastAsia="ko-KR"/>
              </w:rPr>
              <w:t>price into a</w:t>
            </w:r>
            <w:r w:rsidR="00B6721E">
              <w:rPr>
                <w:rFonts w:ascii="Arial" w:eastAsia="Malgun Gothic" w:hAnsi="Arial" w:cs="Arial" w:hint="eastAsia"/>
                <w:bCs/>
                <w:sz w:val="22"/>
                <w:szCs w:val="22"/>
                <w:lang w:eastAsia="ko-KR"/>
              </w:rPr>
              <w:t xml:space="preserve"> C/t</w:t>
            </w:r>
            <w:r w:rsidR="00B6721E" w:rsidRPr="00B6721E">
              <w:rPr>
                <w:rFonts w:ascii="Arial" w:eastAsia="Malgun Gothic" w:hAnsi="Arial" w:cs="Arial"/>
                <w:bCs/>
                <w:sz w:val="22"/>
                <w:szCs w:val="22"/>
                <w:lang w:eastAsia="ko-KR"/>
              </w:rPr>
              <w:t xml:space="preserve"> price and multiplying it by the vegetation carbon storage.</w:t>
            </w:r>
          </w:p>
          <w:p w14:paraId="3FBE4203" w14:textId="77777777" w:rsidR="0007635D" w:rsidRPr="00B6721E" w:rsidRDefault="0007635D" w:rsidP="00706DED">
            <w:pPr>
              <w:jc w:val="both"/>
              <w:rPr>
                <w:rFonts w:ascii="Arial" w:eastAsia="Malgun Gothic" w:hAnsi="Arial" w:cs="Arial"/>
                <w:bCs/>
                <w:sz w:val="22"/>
                <w:szCs w:val="22"/>
                <w:lang w:eastAsia="ko-KR"/>
              </w:rPr>
            </w:pPr>
          </w:p>
          <w:p w14:paraId="62DAA8AE" w14:textId="77777777"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26DC99F1" w14:textId="153A4BAB" w:rsidR="0065012F" w:rsidRDefault="000503F5" w:rsidP="00706DED">
            <w:pPr>
              <w:jc w:val="both"/>
              <w:rPr>
                <w:rFonts w:ascii="Arial" w:hAnsi="Arial" w:cs="Arial"/>
                <w:bCs/>
                <w:sz w:val="22"/>
                <w:szCs w:val="22"/>
              </w:rPr>
            </w:pPr>
            <w:r w:rsidRPr="000503F5">
              <w:rPr>
                <w:rFonts w:ascii="Arial" w:hAnsi="Arial" w:cs="Arial"/>
                <w:bCs/>
                <w:sz w:val="22"/>
                <w:szCs w:val="22"/>
              </w:rPr>
              <w:t>The results revealed that in the Sichuan region, the transition of cropland to forest led to an increase in vegetation carbon storage of 7.7 times compared to the early period, thereby maximizing the economic benefits. Although grassland was converted to cropland or forest in the marginal areas of Inner Mongolia, the increase in carbon storage was relatively smaller due to the dry condition.</w:t>
            </w:r>
          </w:p>
          <w:p w14:paraId="26668CCB" w14:textId="77777777" w:rsidR="0007635D" w:rsidRPr="000503F5" w:rsidRDefault="0007635D" w:rsidP="00706DED">
            <w:pPr>
              <w:jc w:val="both"/>
              <w:rPr>
                <w:rFonts w:ascii="Arial" w:hAnsi="Arial" w:cs="Arial"/>
                <w:bCs/>
                <w:sz w:val="22"/>
                <w:szCs w:val="22"/>
              </w:rPr>
            </w:pPr>
          </w:p>
          <w:p w14:paraId="261EC656" w14:textId="2669F05C" w:rsidR="00C8423A"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34B1A369" w14:textId="77777777" w:rsidR="009F4EA0" w:rsidRDefault="00153CDF" w:rsidP="00706DED">
            <w:pPr>
              <w:jc w:val="both"/>
              <w:rPr>
                <w:rFonts w:ascii="Arial" w:eastAsia="Malgun Gothic" w:hAnsi="Arial" w:cs="Arial"/>
                <w:bCs/>
                <w:sz w:val="22"/>
                <w:szCs w:val="22"/>
                <w:lang w:eastAsia="ko-KR"/>
              </w:rPr>
            </w:pPr>
            <w:r w:rsidRPr="00153CDF">
              <w:rPr>
                <w:rFonts w:ascii="Arial" w:hAnsi="Arial" w:cs="Arial"/>
                <w:bCs/>
                <w:sz w:val="22"/>
                <w:szCs w:val="22"/>
              </w:rPr>
              <w:t xml:space="preserve">This study demonstrates that land use policies can significantly </w:t>
            </w:r>
            <w:r>
              <w:rPr>
                <w:rFonts w:ascii="Arial" w:eastAsia="Malgun Gothic" w:hAnsi="Arial" w:cs="Arial" w:hint="eastAsia"/>
                <w:bCs/>
                <w:sz w:val="22"/>
                <w:szCs w:val="22"/>
                <w:lang w:eastAsia="ko-KR"/>
              </w:rPr>
              <w:t>impact</w:t>
            </w:r>
            <w:r w:rsidRPr="00153CDF">
              <w:rPr>
                <w:rFonts w:ascii="Arial" w:hAnsi="Arial" w:cs="Arial"/>
                <w:bCs/>
                <w:sz w:val="22"/>
                <w:szCs w:val="22"/>
              </w:rPr>
              <w:t xml:space="preserve"> vegetation carbon storage and economic benefits. </w:t>
            </w:r>
            <w:r>
              <w:rPr>
                <w:rFonts w:ascii="Arial" w:eastAsia="Malgun Gothic" w:hAnsi="Arial" w:cs="Arial"/>
                <w:bCs/>
                <w:sz w:val="22"/>
                <w:szCs w:val="22"/>
                <w:lang w:eastAsia="ko-KR"/>
              </w:rPr>
              <w:t>Focusing</w:t>
            </w:r>
            <w:r w:rsidRPr="00153CDF">
              <w:rPr>
                <w:rFonts w:ascii="Arial" w:hAnsi="Arial" w:cs="Arial"/>
                <w:bCs/>
                <w:sz w:val="22"/>
                <w:szCs w:val="22"/>
              </w:rPr>
              <w:t xml:space="preserve"> on the Grain for Green Program within the East Asian monsoon region, our </w:t>
            </w:r>
            <w:r>
              <w:rPr>
                <w:rFonts w:ascii="Arial" w:eastAsia="Malgun Gothic" w:hAnsi="Arial" w:cs="Arial" w:hint="eastAsia"/>
                <w:bCs/>
                <w:sz w:val="22"/>
                <w:szCs w:val="22"/>
                <w:lang w:eastAsia="ko-KR"/>
              </w:rPr>
              <w:t>study</w:t>
            </w:r>
            <w:r w:rsidRPr="00153CDF">
              <w:rPr>
                <w:rFonts w:ascii="Arial" w:hAnsi="Arial" w:cs="Arial"/>
                <w:bCs/>
                <w:sz w:val="22"/>
                <w:szCs w:val="22"/>
              </w:rPr>
              <w:t xml:space="preserve"> </w:t>
            </w:r>
            <w:r>
              <w:rPr>
                <w:rFonts w:ascii="Arial" w:eastAsia="Malgun Gothic" w:hAnsi="Arial" w:cs="Arial" w:hint="eastAsia"/>
                <w:bCs/>
                <w:sz w:val="22"/>
                <w:szCs w:val="22"/>
                <w:lang w:eastAsia="ko-KR"/>
              </w:rPr>
              <w:t>showed</w:t>
            </w:r>
            <w:r w:rsidRPr="00153CDF">
              <w:rPr>
                <w:rFonts w:ascii="Arial" w:hAnsi="Arial" w:cs="Arial"/>
                <w:bCs/>
                <w:sz w:val="22"/>
                <w:szCs w:val="22"/>
              </w:rPr>
              <w:t xml:space="preserve"> that reforestation policies contribut</w:t>
            </w:r>
            <w:r w:rsidR="00B6721E">
              <w:rPr>
                <w:rFonts w:ascii="Arial" w:eastAsia="Malgun Gothic" w:hAnsi="Arial" w:cs="Arial" w:hint="eastAsia"/>
                <w:bCs/>
                <w:sz w:val="22"/>
                <w:szCs w:val="22"/>
                <w:lang w:eastAsia="ko-KR"/>
              </w:rPr>
              <w:t xml:space="preserve">e </w:t>
            </w:r>
            <w:r w:rsidRPr="00153CDF">
              <w:rPr>
                <w:rFonts w:ascii="Arial" w:hAnsi="Arial" w:cs="Arial"/>
                <w:bCs/>
                <w:sz w:val="22"/>
                <w:szCs w:val="22"/>
              </w:rPr>
              <w:t xml:space="preserve">to long-term climate mitigation and adaptation. Notably, </w:t>
            </w:r>
            <w:r>
              <w:rPr>
                <w:rFonts w:ascii="Arial" w:eastAsia="Malgun Gothic" w:hAnsi="Arial" w:cs="Arial" w:hint="eastAsia"/>
                <w:bCs/>
                <w:sz w:val="22"/>
                <w:szCs w:val="22"/>
                <w:lang w:eastAsia="ko-KR"/>
              </w:rPr>
              <w:t xml:space="preserve">the </w:t>
            </w:r>
            <w:r w:rsidRPr="00153CDF">
              <w:rPr>
                <w:rFonts w:ascii="Arial" w:hAnsi="Arial" w:cs="Arial"/>
                <w:bCs/>
                <w:sz w:val="22"/>
                <w:szCs w:val="22"/>
              </w:rPr>
              <w:t xml:space="preserve">Sichuan </w:t>
            </w:r>
            <w:r>
              <w:rPr>
                <w:rFonts w:ascii="Arial" w:eastAsia="Malgun Gothic" w:hAnsi="Arial" w:cs="Arial" w:hint="eastAsia"/>
                <w:bCs/>
                <w:sz w:val="22"/>
                <w:szCs w:val="22"/>
                <w:lang w:eastAsia="ko-KR"/>
              </w:rPr>
              <w:t xml:space="preserve">region </w:t>
            </w:r>
            <w:r w:rsidRPr="00153CDF">
              <w:rPr>
                <w:rFonts w:ascii="Arial" w:hAnsi="Arial" w:cs="Arial"/>
                <w:bCs/>
                <w:sz w:val="22"/>
                <w:szCs w:val="22"/>
              </w:rPr>
              <w:t xml:space="preserve">experienced </w:t>
            </w:r>
            <w:r>
              <w:rPr>
                <w:rFonts w:ascii="Arial" w:eastAsia="Malgun Gothic" w:hAnsi="Arial" w:cs="Arial" w:hint="eastAsia"/>
                <w:bCs/>
                <w:sz w:val="22"/>
                <w:szCs w:val="22"/>
                <w:lang w:eastAsia="ko-KR"/>
              </w:rPr>
              <w:t xml:space="preserve">a significant </w:t>
            </w:r>
            <w:r w:rsidRPr="00153CDF">
              <w:rPr>
                <w:rFonts w:ascii="Arial" w:hAnsi="Arial" w:cs="Arial"/>
                <w:bCs/>
                <w:sz w:val="22"/>
                <w:szCs w:val="22"/>
              </w:rPr>
              <w:t xml:space="preserve">carbon </w:t>
            </w:r>
            <w:proofErr w:type="gramStart"/>
            <w:r>
              <w:rPr>
                <w:rFonts w:ascii="Arial" w:eastAsia="Malgun Gothic" w:hAnsi="Arial" w:cs="Arial" w:hint="eastAsia"/>
                <w:bCs/>
                <w:sz w:val="22"/>
                <w:szCs w:val="22"/>
                <w:lang w:eastAsia="ko-KR"/>
              </w:rPr>
              <w:t>storage</w:t>
            </w:r>
            <w:proofErr w:type="gramEnd"/>
            <w:r>
              <w:rPr>
                <w:rFonts w:ascii="Arial" w:eastAsia="Malgun Gothic" w:hAnsi="Arial" w:cs="Arial" w:hint="eastAsia"/>
                <w:bCs/>
                <w:sz w:val="22"/>
                <w:szCs w:val="22"/>
                <w:lang w:eastAsia="ko-KR"/>
              </w:rPr>
              <w:t xml:space="preserve"> </w:t>
            </w:r>
            <w:r w:rsidRPr="00153CDF">
              <w:rPr>
                <w:rFonts w:ascii="Arial" w:hAnsi="Arial" w:cs="Arial"/>
                <w:bCs/>
                <w:sz w:val="22"/>
                <w:szCs w:val="22"/>
              </w:rPr>
              <w:t xml:space="preserve">and economic </w:t>
            </w:r>
            <w:r>
              <w:rPr>
                <w:rFonts w:ascii="Arial" w:eastAsia="Malgun Gothic" w:hAnsi="Arial" w:cs="Arial" w:hint="eastAsia"/>
                <w:bCs/>
                <w:sz w:val="22"/>
                <w:szCs w:val="22"/>
                <w:lang w:eastAsia="ko-KR"/>
              </w:rPr>
              <w:t>benefits</w:t>
            </w:r>
            <w:r w:rsidRPr="00153CDF">
              <w:rPr>
                <w:rFonts w:ascii="Arial" w:hAnsi="Arial" w:cs="Arial"/>
                <w:bCs/>
                <w:sz w:val="22"/>
                <w:szCs w:val="22"/>
              </w:rPr>
              <w:t xml:space="preserve"> </w:t>
            </w:r>
            <w:r>
              <w:rPr>
                <w:rFonts w:ascii="Arial" w:eastAsia="Malgun Gothic" w:hAnsi="Arial" w:cs="Arial" w:hint="eastAsia"/>
                <w:bCs/>
                <w:sz w:val="22"/>
                <w:szCs w:val="22"/>
                <w:lang w:eastAsia="ko-KR"/>
              </w:rPr>
              <w:t>increase</w:t>
            </w:r>
            <w:r w:rsidRPr="00153CDF">
              <w:rPr>
                <w:rFonts w:ascii="Arial" w:hAnsi="Arial" w:cs="Arial"/>
                <w:bCs/>
                <w:sz w:val="22"/>
                <w:szCs w:val="22"/>
              </w:rPr>
              <w:t xml:space="preserve"> </w:t>
            </w:r>
            <w:r>
              <w:rPr>
                <w:rFonts w:ascii="Arial" w:eastAsia="Malgun Gothic" w:hAnsi="Arial" w:cs="Arial" w:hint="eastAsia"/>
                <w:bCs/>
                <w:sz w:val="22"/>
                <w:szCs w:val="22"/>
                <w:lang w:eastAsia="ko-KR"/>
              </w:rPr>
              <w:t>due to the land use</w:t>
            </w:r>
            <w:r w:rsidRPr="00153CDF">
              <w:rPr>
                <w:rFonts w:ascii="Arial" w:hAnsi="Arial" w:cs="Arial"/>
                <w:bCs/>
                <w:sz w:val="22"/>
                <w:szCs w:val="22"/>
              </w:rPr>
              <w:t xml:space="preserve"> policy implementation</w:t>
            </w:r>
            <w:r>
              <w:rPr>
                <w:rFonts w:ascii="Arial" w:eastAsia="Malgun Gothic" w:hAnsi="Arial" w:cs="Arial" w:hint="eastAsia"/>
                <w:bCs/>
                <w:sz w:val="22"/>
                <w:szCs w:val="22"/>
                <w:lang w:eastAsia="ko-KR"/>
              </w:rPr>
              <w:t>.</w:t>
            </w:r>
            <w:r w:rsidRPr="00153CDF">
              <w:rPr>
                <w:rFonts w:ascii="Arial" w:hAnsi="Arial" w:cs="Arial"/>
                <w:bCs/>
                <w:sz w:val="22"/>
                <w:szCs w:val="22"/>
              </w:rPr>
              <w:t xml:space="preserve"> </w:t>
            </w:r>
            <w:r>
              <w:rPr>
                <w:rFonts w:ascii="Arial" w:eastAsia="Malgun Gothic" w:hAnsi="Arial" w:cs="Arial" w:hint="eastAsia"/>
                <w:bCs/>
                <w:sz w:val="22"/>
                <w:szCs w:val="22"/>
                <w:lang w:eastAsia="ko-KR"/>
              </w:rPr>
              <w:t xml:space="preserve">This study highlights the need for land use policies that reflect regional geographic </w:t>
            </w:r>
            <w:r>
              <w:rPr>
                <w:rFonts w:ascii="Arial" w:eastAsia="Malgun Gothic" w:hAnsi="Arial" w:cs="Arial"/>
                <w:bCs/>
                <w:sz w:val="22"/>
                <w:szCs w:val="22"/>
                <w:lang w:eastAsia="ko-KR"/>
              </w:rPr>
              <w:t>characteristics</w:t>
            </w:r>
            <w:r>
              <w:rPr>
                <w:rFonts w:ascii="Arial" w:eastAsia="Malgun Gothic" w:hAnsi="Arial" w:cs="Arial" w:hint="eastAsia"/>
                <w:bCs/>
                <w:sz w:val="22"/>
                <w:szCs w:val="22"/>
                <w:lang w:eastAsia="ko-KR"/>
              </w:rPr>
              <w:t>.</w:t>
            </w:r>
          </w:p>
          <w:p w14:paraId="2CBAECD6" w14:textId="62F68716" w:rsidR="0007635D" w:rsidRPr="00153CDF" w:rsidRDefault="0007635D" w:rsidP="00706DED">
            <w:pPr>
              <w:jc w:val="both"/>
              <w:rPr>
                <w:rFonts w:ascii="Arial" w:eastAsia="Malgun Gothic" w:hAnsi="Arial" w:cs="Arial"/>
                <w:b/>
                <w:sz w:val="22"/>
                <w:szCs w:val="22"/>
                <w:lang w:eastAsia="ko-KR"/>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DBB1E" w14:textId="77777777" w:rsidR="00A963E5" w:rsidRDefault="00A963E5" w:rsidP="000503F5">
      <w:r>
        <w:separator/>
      </w:r>
    </w:p>
  </w:endnote>
  <w:endnote w:type="continuationSeparator" w:id="0">
    <w:p w14:paraId="261BE606" w14:textId="77777777" w:rsidR="00A963E5" w:rsidRDefault="00A963E5" w:rsidP="00050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EC5BC" w14:textId="77777777" w:rsidR="00A963E5" w:rsidRDefault="00A963E5" w:rsidP="000503F5">
      <w:r>
        <w:separator/>
      </w:r>
    </w:p>
  </w:footnote>
  <w:footnote w:type="continuationSeparator" w:id="0">
    <w:p w14:paraId="5C2A7325" w14:textId="77777777" w:rsidR="00A963E5" w:rsidRDefault="00A963E5" w:rsidP="000503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2"/>
  </w:num>
  <w:num w:numId="3" w16cid:durableId="131637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454E9"/>
    <w:rsid w:val="000503F5"/>
    <w:rsid w:val="0007635D"/>
    <w:rsid w:val="00105E39"/>
    <w:rsid w:val="00132AE5"/>
    <w:rsid w:val="00153CDF"/>
    <w:rsid w:val="00155162"/>
    <w:rsid w:val="00155315"/>
    <w:rsid w:val="00247C60"/>
    <w:rsid w:val="00256963"/>
    <w:rsid w:val="002E3AA3"/>
    <w:rsid w:val="002F1D35"/>
    <w:rsid w:val="00317356"/>
    <w:rsid w:val="0034503D"/>
    <w:rsid w:val="00354C31"/>
    <w:rsid w:val="00375B20"/>
    <w:rsid w:val="00386D01"/>
    <w:rsid w:val="004049E7"/>
    <w:rsid w:val="00462B90"/>
    <w:rsid w:val="004828A0"/>
    <w:rsid w:val="004B69C7"/>
    <w:rsid w:val="004D193B"/>
    <w:rsid w:val="004F4CE8"/>
    <w:rsid w:val="004F5C81"/>
    <w:rsid w:val="0053222C"/>
    <w:rsid w:val="005469BD"/>
    <w:rsid w:val="00550B17"/>
    <w:rsid w:val="005854B8"/>
    <w:rsid w:val="0065012F"/>
    <w:rsid w:val="0068043B"/>
    <w:rsid w:val="00681CA7"/>
    <w:rsid w:val="00733028"/>
    <w:rsid w:val="008235E8"/>
    <w:rsid w:val="008773DF"/>
    <w:rsid w:val="008B01BA"/>
    <w:rsid w:val="008B50A0"/>
    <w:rsid w:val="008C0C35"/>
    <w:rsid w:val="008C22AD"/>
    <w:rsid w:val="008C2633"/>
    <w:rsid w:val="008E3D8D"/>
    <w:rsid w:val="008F2F93"/>
    <w:rsid w:val="009010B0"/>
    <w:rsid w:val="00906B39"/>
    <w:rsid w:val="00963443"/>
    <w:rsid w:val="009C374A"/>
    <w:rsid w:val="009F4EA0"/>
    <w:rsid w:val="00A963E5"/>
    <w:rsid w:val="00B026E8"/>
    <w:rsid w:val="00B6721E"/>
    <w:rsid w:val="00BA0872"/>
    <w:rsid w:val="00BA26BB"/>
    <w:rsid w:val="00BC6810"/>
    <w:rsid w:val="00BE0B4D"/>
    <w:rsid w:val="00BE4969"/>
    <w:rsid w:val="00BE58D6"/>
    <w:rsid w:val="00C26081"/>
    <w:rsid w:val="00C4126D"/>
    <w:rsid w:val="00C76C99"/>
    <w:rsid w:val="00C8423A"/>
    <w:rsid w:val="00CE53FE"/>
    <w:rsid w:val="00D716AD"/>
    <w:rsid w:val="00DB7929"/>
    <w:rsid w:val="00DD1BB3"/>
    <w:rsid w:val="00E612FF"/>
    <w:rsid w:val="00EB1B31"/>
    <w:rsid w:val="00F818D6"/>
    <w:rsid w:val="00FA372B"/>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Header">
    <w:name w:val="header"/>
    <w:basedOn w:val="Normal"/>
    <w:link w:val="HeaderChar"/>
    <w:uiPriority w:val="99"/>
    <w:unhideWhenUsed/>
    <w:rsid w:val="000503F5"/>
    <w:pPr>
      <w:tabs>
        <w:tab w:val="center" w:pos="4513"/>
        <w:tab w:val="right" w:pos="9026"/>
      </w:tabs>
      <w:snapToGrid w:val="0"/>
    </w:pPr>
  </w:style>
  <w:style w:type="character" w:customStyle="1" w:styleId="HeaderChar">
    <w:name w:val="Header Char"/>
    <w:basedOn w:val="DefaultParagraphFont"/>
    <w:link w:val="Header"/>
    <w:uiPriority w:val="99"/>
    <w:rsid w:val="000503F5"/>
  </w:style>
  <w:style w:type="paragraph" w:styleId="Footer">
    <w:name w:val="footer"/>
    <w:basedOn w:val="Normal"/>
    <w:link w:val="FooterChar"/>
    <w:uiPriority w:val="99"/>
    <w:unhideWhenUsed/>
    <w:rsid w:val="000503F5"/>
    <w:pPr>
      <w:tabs>
        <w:tab w:val="center" w:pos="4513"/>
        <w:tab w:val="right" w:pos="9026"/>
      </w:tabs>
      <w:snapToGrid w:val="0"/>
    </w:pPr>
  </w:style>
  <w:style w:type="character" w:customStyle="1" w:styleId="FooterChar">
    <w:name w:val="Footer Char"/>
    <w:basedOn w:val="DefaultParagraphFont"/>
    <w:link w:val="Footer"/>
    <w:uiPriority w:val="99"/>
    <w:rsid w:val="00050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C375252D-E591-453A-8164-E6940B4D4083}">
  <ds:schemaRefs>
    <ds:schemaRef ds:uri="http://schemas.microsoft.com/office/2006/documentManagement/types"/>
    <ds:schemaRef ds:uri="http://www.w3.org/XML/1998/namespace"/>
    <ds:schemaRef ds:uri="9c8a2b7b-0bee-4c48-b0a6-23db8982d3bc"/>
    <ds:schemaRef ds:uri="http://purl.org/dc/elements/1.1/"/>
    <ds:schemaRef ds:uri="http://purl.org/dc/dcmitype/"/>
    <ds:schemaRef ds:uri="cab52c9b-ab33-4221-8af9-54f8f2b86a80"/>
    <ds:schemaRef ds:uri="http://schemas.microsoft.com/office/infopath/2007/PartnerControls"/>
    <ds:schemaRef ds:uri="http://schemas.microsoft.com/office/2006/metadata/properties"/>
    <ds:schemaRef ds:uri="http://schemas.openxmlformats.org/package/2006/metadata/core-properties"/>
    <ds:schemaRef ds:uri="6911e96c-4cc4-42d5-8e43-f93924cf6a05"/>
    <ds:schemaRef ds:uri="http://purl.org/dc/terms/"/>
  </ds:schemaRefs>
</ds:datastoreItem>
</file>

<file path=customXml/itemProps3.xml><?xml version="1.0" encoding="utf-8"?>
<ds:datastoreItem xmlns:ds="http://schemas.openxmlformats.org/officeDocument/2006/customXml" ds:itemID="{CC69A01C-7174-49B6-9217-572FF41E9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395</Words>
  <Characters>2256</Characters>
  <Application>Microsoft Office Word</Application>
  <DocSecurity>0</DocSecurity>
  <Lines>18</Lines>
  <Paragraphs>5</Paragraphs>
  <ScaleCrop>false</ScaleCrop>
  <HeadingPairs>
    <vt:vector size="6" baseType="variant">
      <vt:variant>
        <vt:lpstr>제목</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5</cp:revision>
  <dcterms:created xsi:type="dcterms:W3CDTF">2025-03-02T02:57:00Z</dcterms:created>
  <dcterms:modified xsi:type="dcterms:W3CDTF">2025-08-10T19:19:00Z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