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AEFF" w14:textId="77777777" w:rsidR="00F05CB3" w:rsidRDefault="00F05CB3" w:rsidP="00F05CB3">
      <w:pPr>
        <w:spacing w:line="240" w:lineRule="auto"/>
        <w:rPr>
          <w:rFonts w:ascii="Arial" w:hAnsi="Arial" w:cs="Arial"/>
        </w:rPr>
      </w:pPr>
    </w:p>
    <w:p w14:paraId="2BE7AEE6" w14:textId="18E72A69" w:rsidR="005A0EC7" w:rsidRPr="00F05CB3" w:rsidRDefault="00C67D9D" w:rsidP="00F05CB3">
      <w:pPr>
        <w:spacing w:line="240" w:lineRule="auto"/>
        <w:rPr>
          <w:rFonts w:ascii="Arial" w:hAnsi="Arial" w:cs="Arial"/>
          <w:b/>
          <w:bCs/>
        </w:rPr>
      </w:pPr>
      <w:r w:rsidRPr="00F05CB3">
        <w:rPr>
          <w:rFonts w:ascii="Arial" w:hAnsi="Arial" w:cs="Arial"/>
          <w:b/>
          <w:bCs/>
        </w:rPr>
        <w:t>Linking Periodontal Health and Glycaemic Control in Adults with Diabetes: Implications for Integrated Care and Public Health</w:t>
      </w:r>
    </w:p>
    <w:p w14:paraId="0FED6B12" w14:textId="77777777" w:rsidR="00AA06DA" w:rsidRPr="00F05CB3" w:rsidRDefault="00AA06DA" w:rsidP="00F05CB3">
      <w:pPr>
        <w:spacing w:line="240" w:lineRule="auto"/>
        <w:rPr>
          <w:rFonts w:ascii="Arial" w:hAnsi="Arial" w:cs="Arial"/>
        </w:rPr>
      </w:pPr>
    </w:p>
    <w:p w14:paraId="406149BC" w14:textId="2C99727C" w:rsidR="00771B40" w:rsidRPr="00F05CB3" w:rsidRDefault="005A0EC7" w:rsidP="00F05CB3">
      <w:pPr>
        <w:tabs>
          <w:tab w:val="left" w:pos="1020"/>
        </w:tabs>
        <w:spacing w:line="240" w:lineRule="auto"/>
        <w:rPr>
          <w:rFonts w:ascii="Arial" w:hAnsi="Arial" w:cs="Arial"/>
        </w:rPr>
      </w:pPr>
      <w:r w:rsidRPr="00F05CB3">
        <w:rPr>
          <w:rFonts w:ascii="Arial" w:hAnsi="Arial" w:cs="Arial"/>
          <w:b/>
          <w:bCs/>
        </w:rPr>
        <w:t>Aim/s</w:t>
      </w:r>
      <w:r w:rsidRPr="00F05CB3">
        <w:rPr>
          <w:rFonts w:ascii="Arial" w:hAnsi="Arial" w:cs="Arial"/>
        </w:rPr>
        <w:t xml:space="preserve">: </w:t>
      </w:r>
      <w:r w:rsidR="00C67D9D" w:rsidRPr="00F05CB3">
        <w:rPr>
          <w:rFonts w:ascii="Arial" w:hAnsi="Arial" w:cs="Arial"/>
        </w:rPr>
        <w:t xml:space="preserve"> </w:t>
      </w:r>
      <w:r w:rsidRPr="00F05CB3">
        <w:rPr>
          <w:rFonts w:ascii="Arial" w:hAnsi="Arial" w:cs="Arial"/>
        </w:rPr>
        <w:t>To examine</w:t>
      </w:r>
      <w:r w:rsidR="00C67D9D" w:rsidRPr="00F05CB3">
        <w:rPr>
          <w:rFonts w:ascii="Arial" w:hAnsi="Arial" w:cs="Arial"/>
        </w:rPr>
        <w:t xml:space="preserve"> periodontal status and its association with glycaemic control among adults with diabetes attending an outpatient clinic in Sydney, Australia</w:t>
      </w:r>
      <w:r w:rsidR="00B94439" w:rsidRPr="00F05CB3">
        <w:rPr>
          <w:rFonts w:ascii="Arial" w:hAnsi="Arial" w:cs="Arial"/>
        </w:rPr>
        <w:t xml:space="preserve">, </w:t>
      </w:r>
      <w:r w:rsidRPr="00F05CB3">
        <w:rPr>
          <w:rFonts w:ascii="Arial" w:hAnsi="Arial" w:cs="Arial"/>
        </w:rPr>
        <w:t>and to describe</w:t>
      </w:r>
      <w:r w:rsidR="00B94439" w:rsidRPr="00F05CB3">
        <w:rPr>
          <w:rFonts w:ascii="Arial" w:hAnsi="Arial" w:cs="Arial"/>
        </w:rPr>
        <w:t xml:space="preserve"> behavioural</w:t>
      </w:r>
      <w:r w:rsidR="00426732" w:rsidRPr="00F05CB3">
        <w:rPr>
          <w:rFonts w:ascii="Arial" w:hAnsi="Arial" w:cs="Arial"/>
        </w:rPr>
        <w:t xml:space="preserve">, access, and </w:t>
      </w:r>
      <w:r w:rsidRPr="00F05CB3">
        <w:rPr>
          <w:rFonts w:ascii="Arial" w:hAnsi="Arial" w:cs="Arial"/>
        </w:rPr>
        <w:t>service-related factors relevant to public health and diabetes service delivery.</w:t>
      </w:r>
    </w:p>
    <w:p w14:paraId="1435D109" w14:textId="5B144BAA" w:rsidR="00C67D9D" w:rsidRPr="00F05CB3" w:rsidRDefault="00C67D9D" w:rsidP="00F05CB3">
      <w:pPr>
        <w:tabs>
          <w:tab w:val="left" w:pos="1020"/>
        </w:tabs>
        <w:spacing w:line="240" w:lineRule="auto"/>
        <w:rPr>
          <w:rFonts w:ascii="Arial" w:hAnsi="Arial" w:cs="Arial"/>
        </w:rPr>
      </w:pPr>
      <w:r w:rsidRPr="00F05CB3">
        <w:rPr>
          <w:rFonts w:ascii="Arial" w:hAnsi="Arial" w:cs="Arial"/>
          <w:b/>
          <w:bCs/>
        </w:rPr>
        <w:t>Methods:</w:t>
      </w:r>
      <w:r w:rsidRPr="00F05CB3">
        <w:rPr>
          <w:rFonts w:ascii="Arial" w:hAnsi="Arial" w:cs="Arial"/>
        </w:rPr>
        <w:t xml:space="preserve"> This cross-sectional study included adults with type 1 or type 2 diabetes who underwent periodontal screening using the Periodontal Screening and Recording (PSR) index. PSR scores were used for continuous analyses, while PSR severity-based categories summarised periodontal burden. Glycaemic control was assessed using glycated haemoglobin (HbA1c). Participants completed questionnaires on demographics</w:t>
      </w:r>
      <w:r w:rsidR="00771B40" w:rsidRPr="00F05CB3">
        <w:rPr>
          <w:rFonts w:ascii="Arial" w:hAnsi="Arial" w:cs="Arial"/>
        </w:rPr>
        <w:t xml:space="preserve">, </w:t>
      </w:r>
      <w:r w:rsidRPr="00F05CB3">
        <w:rPr>
          <w:rFonts w:ascii="Arial" w:hAnsi="Arial" w:cs="Arial"/>
        </w:rPr>
        <w:t xml:space="preserve">oral hygiene practices, lifestyle behaviours, </w:t>
      </w:r>
      <w:r w:rsidR="00771B40" w:rsidRPr="00F05CB3">
        <w:rPr>
          <w:rFonts w:ascii="Arial" w:hAnsi="Arial" w:cs="Arial"/>
        </w:rPr>
        <w:t xml:space="preserve">dental </w:t>
      </w:r>
      <w:r w:rsidR="005A0EC7" w:rsidRPr="00F05CB3">
        <w:rPr>
          <w:rFonts w:ascii="Arial" w:hAnsi="Arial" w:cs="Arial"/>
        </w:rPr>
        <w:t xml:space="preserve">service </w:t>
      </w:r>
      <w:r w:rsidR="00771B40" w:rsidRPr="00F05CB3">
        <w:rPr>
          <w:rFonts w:ascii="Arial" w:hAnsi="Arial" w:cs="Arial"/>
        </w:rPr>
        <w:t>access</w:t>
      </w:r>
      <w:r w:rsidRPr="00F05CB3">
        <w:rPr>
          <w:rFonts w:ascii="Arial" w:hAnsi="Arial" w:cs="Arial"/>
        </w:rPr>
        <w:t>, and awareness of the diabetes–oral health relationship. Associations were examined using correlation</w:t>
      </w:r>
      <w:r w:rsidR="005A0EC7" w:rsidRPr="00F05CB3">
        <w:rPr>
          <w:rFonts w:ascii="Arial" w:hAnsi="Arial" w:cs="Arial"/>
        </w:rPr>
        <w:t>, partial correlation</w:t>
      </w:r>
      <w:r w:rsidRPr="00F05CB3">
        <w:rPr>
          <w:rFonts w:ascii="Arial" w:hAnsi="Arial" w:cs="Arial"/>
        </w:rPr>
        <w:t xml:space="preserve"> and</w:t>
      </w:r>
      <w:r w:rsidR="00E967F4" w:rsidRPr="00F05CB3">
        <w:rPr>
          <w:rFonts w:ascii="Arial" w:hAnsi="Arial" w:cs="Arial"/>
        </w:rPr>
        <w:t xml:space="preserve"> </w:t>
      </w:r>
      <w:r w:rsidRPr="00F05CB3">
        <w:rPr>
          <w:rFonts w:ascii="Arial" w:hAnsi="Arial" w:cs="Arial"/>
        </w:rPr>
        <w:t>regression analyses.</w:t>
      </w:r>
    </w:p>
    <w:p w14:paraId="4EC19E4C" w14:textId="5C4DD4C0" w:rsidR="00771B40" w:rsidRPr="00F05CB3" w:rsidRDefault="00C67D9D" w:rsidP="00F05CB3">
      <w:pPr>
        <w:tabs>
          <w:tab w:val="left" w:pos="1020"/>
        </w:tabs>
        <w:spacing w:line="240" w:lineRule="auto"/>
        <w:rPr>
          <w:rFonts w:ascii="Arial" w:hAnsi="Arial" w:cs="Arial"/>
        </w:rPr>
      </w:pPr>
      <w:r w:rsidRPr="00F05CB3">
        <w:rPr>
          <w:rFonts w:ascii="Arial" w:hAnsi="Arial" w:cs="Arial"/>
          <w:b/>
          <w:bCs/>
        </w:rPr>
        <w:t>Results:</w:t>
      </w:r>
      <w:r w:rsidRPr="00F05CB3">
        <w:rPr>
          <w:rFonts w:ascii="Arial" w:hAnsi="Arial" w:cs="Arial"/>
        </w:rPr>
        <w:t xml:space="preserve"> </w:t>
      </w:r>
      <w:r w:rsidR="00771B40" w:rsidRPr="00F05CB3">
        <w:rPr>
          <w:rFonts w:ascii="Arial" w:hAnsi="Arial" w:cs="Arial"/>
        </w:rPr>
        <w:t xml:space="preserve">A total of 120 participants were included (36% type 1 diabetes, 64% type 2 diabetes). Overall mean PSR was 1.97 (SD 0.82), indicating moderate periodontal involvement, with </w:t>
      </w:r>
      <w:r w:rsidR="005A0EC7" w:rsidRPr="00F05CB3">
        <w:rPr>
          <w:rFonts w:ascii="Arial" w:hAnsi="Arial" w:cs="Arial"/>
        </w:rPr>
        <w:t xml:space="preserve">more severe periodontal burden observed among participants with </w:t>
      </w:r>
      <w:r w:rsidR="00771B40" w:rsidRPr="00F05CB3">
        <w:rPr>
          <w:rFonts w:ascii="Arial" w:hAnsi="Arial" w:cs="Arial"/>
        </w:rPr>
        <w:t>type 2 diabetes. Mean PSR was positively correlated with HbA1c (r = 0.35, p &lt; .001) and remained significant</w:t>
      </w:r>
      <w:r w:rsidR="005A0EC7" w:rsidRPr="00F05CB3">
        <w:rPr>
          <w:rFonts w:ascii="Arial" w:hAnsi="Arial" w:cs="Arial"/>
        </w:rPr>
        <w:t>ly associated</w:t>
      </w:r>
      <w:r w:rsidR="00771B40" w:rsidRPr="00F05CB3">
        <w:rPr>
          <w:rFonts w:ascii="Arial" w:hAnsi="Arial" w:cs="Arial"/>
        </w:rPr>
        <w:t xml:space="preserve"> after adjustment for age, total cholesterol, and creatinine. In multivariable regression, each one-unit increase in mean PSR corresponded to approximately 9 mmol/mol higher HbA1c (β = 0.42, p &lt; .001). Oral hygiene practices were </w:t>
      </w:r>
      <w:r w:rsidR="0027763D" w:rsidRPr="00F05CB3">
        <w:rPr>
          <w:rFonts w:ascii="Arial" w:hAnsi="Arial" w:cs="Arial"/>
        </w:rPr>
        <w:t>below recommended levels</w:t>
      </w:r>
      <w:r w:rsidR="00771B40" w:rsidRPr="00F05CB3">
        <w:rPr>
          <w:rFonts w:ascii="Arial" w:hAnsi="Arial" w:cs="Arial"/>
        </w:rPr>
        <w:t>,</w:t>
      </w:r>
      <w:r w:rsidR="005A0EC7" w:rsidRPr="00F05CB3">
        <w:rPr>
          <w:rFonts w:ascii="Arial" w:hAnsi="Arial" w:cs="Arial"/>
        </w:rPr>
        <w:t xml:space="preserve"> </w:t>
      </w:r>
      <w:r w:rsidR="00771B40" w:rsidRPr="00F05CB3">
        <w:rPr>
          <w:rFonts w:ascii="Arial" w:hAnsi="Arial" w:cs="Arial"/>
        </w:rPr>
        <w:t xml:space="preserve">over one-quarter </w:t>
      </w:r>
      <w:r w:rsidR="0027763D" w:rsidRPr="00F05CB3">
        <w:rPr>
          <w:rFonts w:ascii="Arial" w:hAnsi="Arial" w:cs="Arial"/>
        </w:rPr>
        <w:t xml:space="preserve">of participants </w:t>
      </w:r>
      <w:r w:rsidR="005A0EC7" w:rsidRPr="00F05CB3">
        <w:rPr>
          <w:rFonts w:ascii="Arial" w:hAnsi="Arial" w:cs="Arial"/>
        </w:rPr>
        <w:t>had</w:t>
      </w:r>
      <w:r w:rsidR="00771B40" w:rsidRPr="00F05CB3">
        <w:rPr>
          <w:rFonts w:ascii="Arial" w:hAnsi="Arial" w:cs="Arial"/>
        </w:rPr>
        <w:t xml:space="preserve"> not attended a dentist in more than two years, and awareness of the diabetes</w:t>
      </w:r>
      <w:r w:rsidR="005A0EC7" w:rsidRPr="00F05CB3">
        <w:rPr>
          <w:rFonts w:ascii="Arial" w:hAnsi="Arial" w:cs="Arial"/>
        </w:rPr>
        <w:t>-</w:t>
      </w:r>
      <w:r w:rsidR="00771B40" w:rsidRPr="00F05CB3">
        <w:rPr>
          <w:rFonts w:ascii="Arial" w:hAnsi="Arial" w:cs="Arial"/>
        </w:rPr>
        <w:t xml:space="preserve">oral health </w:t>
      </w:r>
      <w:r w:rsidR="005A0EC7" w:rsidRPr="00F05CB3">
        <w:rPr>
          <w:rFonts w:ascii="Arial" w:hAnsi="Arial" w:cs="Arial"/>
        </w:rPr>
        <w:t xml:space="preserve">relationship </w:t>
      </w:r>
      <w:r w:rsidR="00771B40" w:rsidRPr="00F05CB3">
        <w:rPr>
          <w:rFonts w:ascii="Arial" w:hAnsi="Arial" w:cs="Arial"/>
        </w:rPr>
        <w:t>was limited.</w:t>
      </w:r>
    </w:p>
    <w:p w14:paraId="73247E96" w14:textId="05254C10" w:rsidR="00C67D9D" w:rsidRPr="00F05CB3" w:rsidRDefault="00C67D9D" w:rsidP="00F05CB3">
      <w:pPr>
        <w:tabs>
          <w:tab w:val="left" w:pos="1020"/>
        </w:tabs>
        <w:spacing w:line="240" w:lineRule="auto"/>
        <w:rPr>
          <w:rFonts w:ascii="Arial" w:hAnsi="Arial" w:cs="Arial"/>
        </w:rPr>
      </w:pPr>
      <w:r w:rsidRPr="00F05CB3">
        <w:rPr>
          <w:rFonts w:ascii="Arial" w:hAnsi="Arial" w:cs="Arial"/>
          <w:b/>
          <w:bCs/>
        </w:rPr>
        <w:t>Conclusions:</w:t>
      </w:r>
      <w:r w:rsidRPr="00F05CB3">
        <w:rPr>
          <w:rFonts w:ascii="Arial" w:hAnsi="Arial" w:cs="Arial"/>
        </w:rPr>
        <w:t xml:space="preserve"> </w:t>
      </w:r>
      <w:r w:rsidRPr="00F05CB3">
        <w:rPr>
          <w:rFonts w:ascii="Arial" w:eastAsia="Times New Roman" w:hAnsi="Arial" w:cs="Arial"/>
          <w:kern w:val="0"/>
          <w:lang w:eastAsia="en-GB"/>
          <w14:ligatures w14:val="none"/>
        </w:rPr>
        <w:t xml:space="preserve">Poor periodontal status was </w:t>
      </w:r>
      <w:r w:rsidR="00771B40" w:rsidRPr="00F05CB3">
        <w:rPr>
          <w:rFonts w:ascii="Arial" w:eastAsia="Times New Roman" w:hAnsi="Arial" w:cs="Arial"/>
          <w:kern w:val="0"/>
          <w:lang w:eastAsia="en-GB"/>
          <w14:ligatures w14:val="none"/>
        </w:rPr>
        <w:t xml:space="preserve">independently </w:t>
      </w:r>
      <w:r w:rsidRPr="00F05CB3">
        <w:rPr>
          <w:rFonts w:ascii="Arial" w:eastAsia="Times New Roman" w:hAnsi="Arial" w:cs="Arial"/>
          <w:kern w:val="0"/>
          <w:lang w:eastAsia="en-GB"/>
          <w14:ligatures w14:val="none"/>
        </w:rPr>
        <w:t>associated with higher glycaemic levels</w:t>
      </w:r>
      <w:r w:rsidR="005A0EC7" w:rsidRPr="00F05CB3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this outpatient diabetes population</w:t>
      </w:r>
      <w:r w:rsidRPr="00F05CB3">
        <w:rPr>
          <w:rFonts w:ascii="Arial" w:hAnsi="Arial" w:cs="Arial"/>
        </w:rPr>
        <w:t xml:space="preserve">. </w:t>
      </w:r>
      <w:r w:rsidR="00771B40" w:rsidRPr="00F05CB3">
        <w:rPr>
          <w:rFonts w:ascii="Arial" w:hAnsi="Arial" w:cs="Arial"/>
        </w:rPr>
        <w:t>The combination of periodontal burden, limited</w:t>
      </w:r>
      <w:r w:rsidR="005A0EC7" w:rsidRPr="00F05CB3">
        <w:rPr>
          <w:rFonts w:ascii="Arial" w:hAnsi="Arial" w:cs="Arial"/>
        </w:rPr>
        <w:t xml:space="preserve"> </w:t>
      </w:r>
      <w:r w:rsidR="00771B40" w:rsidRPr="00F05CB3">
        <w:rPr>
          <w:rFonts w:ascii="Arial" w:hAnsi="Arial" w:cs="Arial"/>
        </w:rPr>
        <w:t>awareness</w:t>
      </w:r>
      <w:r w:rsidR="0027763D" w:rsidRPr="00F05CB3">
        <w:rPr>
          <w:rFonts w:ascii="Arial" w:hAnsi="Arial" w:cs="Arial"/>
        </w:rPr>
        <w:t xml:space="preserve"> among participants</w:t>
      </w:r>
      <w:r w:rsidR="00771B40" w:rsidRPr="00F05CB3">
        <w:rPr>
          <w:rFonts w:ascii="Arial" w:hAnsi="Arial" w:cs="Arial"/>
        </w:rPr>
        <w:t>, and gaps</w:t>
      </w:r>
      <w:r w:rsidR="005A0EC7" w:rsidRPr="00F05CB3">
        <w:rPr>
          <w:rFonts w:ascii="Arial" w:hAnsi="Arial" w:cs="Arial"/>
        </w:rPr>
        <w:t xml:space="preserve"> in preventive care</w:t>
      </w:r>
      <w:r w:rsidR="00771B40" w:rsidRPr="00F05CB3">
        <w:rPr>
          <w:rFonts w:ascii="Arial" w:hAnsi="Arial" w:cs="Arial"/>
        </w:rPr>
        <w:t xml:space="preserve"> highlights an opportunity for public health </w:t>
      </w:r>
      <w:r w:rsidR="005A0EC7" w:rsidRPr="00F05CB3">
        <w:rPr>
          <w:rFonts w:ascii="Arial" w:hAnsi="Arial" w:cs="Arial"/>
        </w:rPr>
        <w:t>and service-level intervention</w:t>
      </w:r>
      <w:r w:rsidR="00771B40" w:rsidRPr="00F05CB3">
        <w:rPr>
          <w:rFonts w:ascii="Arial" w:hAnsi="Arial" w:cs="Arial"/>
        </w:rPr>
        <w:t xml:space="preserve">. Integrating periodontal screening and oral health education into diabetes services </w:t>
      </w:r>
      <w:r w:rsidR="005A0EC7" w:rsidRPr="00F05CB3">
        <w:rPr>
          <w:rFonts w:ascii="Arial" w:hAnsi="Arial" w:cs="Arial"/>
        </w:rPr>
        <w:t>may</w:t>
      </w:r>
      <w:r w:rsidR="00771B40" w:rsidRPr="00F05CB3">
        <w:rPr>
          <w:rFonts w:ascii="Arial" w:hAnsi="Arial" w:cs="Arial"/>
        </w:rPr>
        <w:t xml:space="preserve"> support earlier risk identification and </w:t>
      </w:r>
      <w:r w:rsidR="005A0EC7" w:rsidRPr="00F05CB3">
        <w:rPr>
          <w:rFonts w:ascii="Arial" w:hAnsi="Arial" w:cs="Arial"/>
        </w:rPr>
        <w:t xml:space="preserve">more holistic </w:t>
      </w:r>
      <w:r w:rsidR="00771B40" w:rsidRPr="00F05CB3">
        <w:rPr>
          <w:rFonts w:ascii="Arial" w:hAnsi="Arial" w:cs="Arial"/>
        </w:rPr>
        <w:t>chronic disease management.</w:t>
      </w:r>
    </w:p>
    <w:p w14:paraId="754A2049" w14:textId="77777777" w:rsidR="005A0EC7" w:rsidRPr="00F05CB3" w:rsidRDefault="005A0EC7" w:rsidP="00F05CB3">
      <w:pPr>
        <w:spacing w:line="240" w:lineRule="auto"/>
      </w:pPr>
    </w:p>
    <w:sectPr w:rsidR="005A0EC7" w:rsidRPr="00F05CB3" w:rsidSect="00426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9D"/>
    <w:rsid w:val="0027763D"/>
    <w:rsid w:val="00286C34"/>
    <w:rsid w:val="003354AD"/>
    <w:rsid w:val="00426732"/>
    <w:rsid w:val="005A0EC7"/>
    <w:rsid w:val="006D59F4"/>
    <w:rsid w:val="00771B40"/>
    <w:rsid w:val="00826E7E"/>
    <w:rsid w:val="0096257F"/>
    <w:rsid w:val="009A2E68"/>
    <w:rsid w:val="00AA06DA"/>
    <w:rsid w:val="00AE56E2"/>
    <w:rsid w:val="00B94439"/>
    <w:rsid w:val="00C12E06"/>
    <w:rsid w:val="00C67D9D"/>
    <w:rsid w:val="00D43FAA"/>
    <w:rsid w:val="00DE6447"/>
    <w:rsid w:val="00E43A9B"/>
    <w:rsid w:val="00E967F4"/>
    <w:rsid w:val="00F0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A9B1"/>
  <w15:chartTrackingRefBased/>
  <w15:docId w15:val="{2F20AE4D-76F1-453E-8856-91C66133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9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77C7E6-C93A-4356-83F5-459590CAF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775A2-A936-4470-BA0C-63497027C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2C238-A123-4997-A842-884A159869BB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1985</Characters>
  <Application>Microsoft Office Word</Application>
  <DocSecurity>0</DocSecurity>
  <Lines>34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Wong</dc:creator>
  <cp:keywords/>
  <dc:description/>
  <cp:lastModifiedBy>Tanya Yandall</cp:lastModifiedBy>
  <cp:revision>3</cp:revision>
  <dcterms:created xsi:type="dcterms:W3CDTF">2026-02-22T21:06:00Z</dcterms:created>
  <dcterms:modified xsi:type="dcterms:W3CDTF">2026-02-22T21:07:00Z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d3634c65-b69f-448b-b762-58bcf356afa3</vt:lpwstr>
  </property>
  <property fmtid="{D5CDD505-2E9C-101B-9397-08002B2CF9AE}" pid="3" name="MSIP_Label_76a44f01-6907-4156-9b79-a71e6c56ad93_Enabled">
    <vt:lpwstr>true</vt:lpwstr>
  </property>
  <property fmtid="{D5CDD505-2E9C-101B-9397-08002B2CF9AE}" pid="4" name="MSIP_Label_76a44f01-6907-4156-9b79-a71e6c56ad93_SetDate">
    <vt:lpwstr>2026-01-29T04:39:13Z</vt:lpwstr>
  </property>
  <property fmtid="{D5CDD505-2E9C-101B-9397-08002B2CF9AE}" pid="5" name="MSIP_Label_76a44f01-6907-4156-9b79-a71e6c56ad93_Method">
    <vt:lpwstr>Privileged</vt:lpwstr>
  </property>
  <property fmtid="{D5CDD505-2E9C-101B-9397-08002B2CF9AE}" pid="6" name="MSIP_Label_76a44f01-6907-4156-9b79-a71e6c56ad93_Name">
    <vt:lpwstr>OFFICIAL</vt:lpwstr>
  </property>
  <property fmtid="{D5CDD505-2E9C-101B-9397-08002B2CF9AE}" pid="7" name="MSIP_Label_76a44f01-6907-4156-9b79-a71e6c56ad93_SiteId">
    <vt:lpwstr>a687a7bf-02db-43df-bcbb-e7a8bda611a2</vt:lpwstr>
  </property>
  <property fmtid="{D5CDD505-2E9C-101B-9397-08002B2CF9AE}" pid="8" name="MSIP_Label_76a44f01-6907-4156-9b79-a71e6c56ad93_ActionId">
    <vt:lpwstr>ffff5ac1-c0e5-487f-bb13-e4ef0ed0176a</vt:lpwstr>
  </property>
  <property fmtid="{D5CDD505-2E9C-101B-9397-08002B2CF9AE}" pid="9" name="MSIP_Label_76a44f01-6907-4156-9b79-a71e6c56ad93_ContentBits">
    <vt:lpwstr>0</vt:lpwstr>
  </property>
  <property fmtid="{D5CDD505-2E9C-101B-9397-08002B2CF9AE}" pid="10" name="MSIP_Label_76a44f01-6907-4156-9b79-a71e6c56ad93_Tag">
    <vt:lpwstr>10, 0, 1, 1</vt:lpwstr>
  </property>
  <property fmtid="{D5CDD505-2E9C-101B-9397-08002B2CF9AE}" pid="11" name="ContentTypeId">
    <vt:lpwstr>0x01010004DB0B76CE105D459F58063C0D0B3831</vt:lpwstr>
  </property>
  <property fmtid="{D5CDD505-2E9C-101B-9397-08002B2CF9AE}" pid="12" name="MediaServiceImageTags">
    <vt:lpwstr/>
  </property>
</Properties>
</file>