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CA93" w14:textId="77777777" w:rsidR="0057541A" w:rsidRDefault="0057541A">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57541A" w14:paraId="798EA49D" w14:textId="77777777">
        <w:tc>
          <w:tcPr>
            <w:tcW w:w="8640" w:type="dxa"/>
            <w:shd w:val="clear" w:color="auto" w:fill="F2F2F2"/>
          </w:tcPr>
          <w:p w14:paraId="68F184F8" w14:textId="1D990CE7" w:rsidR="0057541A" w:rsidRPr="00617460" w:rsidRDefault="00617460" w:rsidP="00617460">
            <w:pPr>
              <w:jc w:val="both"/>
              <w:rPr>
                <w:bCs/>
                <w:i/>
                <w:iCs/>
              </w:rPr>
            </w:pPr>
            <w:r w:rsidRPr="00617460">
              <w:rPr>
                <w:rFonts w:ascii="Arial" w:eastAsia="Arial" w:hAnsi="Arial" w:cs="Arial"/>
                <w:bCs/>
                <w:i/>
                <w:iCs/>
                <w:sz w:val="22"/>
                <w:szCs w:val="22"/>
              </w:rPr>
              <w:t>Paper</w:t>
            </w:r>
          </w:p>
          <w:p w14:paraId="31E57B84" w14:textId="77777777" w:rsidR="0057541A" w:rsidRDefault="00BB4804" w:rsidP="00BB4804">
            <w:pPr>
              <w:pStyle w:val="Heading1"/>
            </w:pPr>
            <w:r>
              <w:t>Meet me halfway: Bridging debates on defining and measuring adaptation success</w:t>
            </w:r>
          </w:p>
          <w:p w14:paraId="1CFB8E4B" w14:textId="4F5F5C9C" w:rsidR="00617460" w:rsidRPr="00617460" w:rsidRDefault="00617460" w:rsidP="00617460">
            <w:pPr>
              <w:rPr>
                <w:lang w:val="en-NZ" w:eastAsia="en-NZ"/>
              </w:rPr>
            </w:pPr>
          </w:p>
        </w:tc>
      </w:tr>
      <w:tr w:rsidR="0057541A" w14:paraId="00647EF2" w14:textId="77777777" w:rsidTr="00BB4804">
        <w:trPr>
          <w:trHeight w:val="274"/>
        </w:trPr>
        <w:tc>
          <w:tcPr>
            <w:tcW w:w="8640" w:type="dxa"/>
          </w:tcPr>
          <w:p w14:paraId="00F8F395" w14:textId="77777777" w:rsidR="0057541A" w:rsidRPr="00BB4804" w:rsidRDefault="00BB4804">
            <w:pPr>
              <w:jc w:val="both"/>
              <w:rPr>
                <w:rFonts w:ascii="Arial" w:eastAsia="Arial" w:hAnsi="Arial" w:cs="Arial"/>
                <w:sz w:val="22"/>
                <w:szCs w:val="22"/>
              </w:rPr>
            </w:pPr>
            <w:r w:rsidRPr="00BB4804">
              <w:rPr>
                <w:rFonts w:ascii="Arial" w:eastAsia="Arial" w:hAnsi="Arial" w:cs="Arial"/>
                <w:b/>
                <w:sz w:val="22"/>
                <w:szCs w:val="22"/>
              </w:rPr>
              <w:t>Introduction:</w:t>
            </w:r>
            <w:r w:rsidRPr="00BB4804">
              <w:rPr>
                <w:rFonts w:ascii="Arial" w:eastAsia="Arial" w:hAnsi="Arial" w:cs="Arial"/>
                <w:sz w:val="22"/>
                <w:szCs w:val="22"/>
              </w:rPr>
              <w:t xml:space="preserve"> Despite over three decades of research and practice, measuring adaptation success remains elusive and highly contested. Existing approaches—from systematic reviews to policy analyses and expert judgments—offer valuable insights but often sidestep deeper debates about how success is defined. Recent research shows that success depends not only on achieving intended goals but also on whose goals are prioritized and how they are defined and operationalised. At the same time, practice demonstrates that measuring adaptation is inherently complex due to multifaceted challenges that go beyond technical frames and operate across contexts, scales, and timeframes. </w:t>
            </w:r>
          </w:p>
          <w:p w14:paraId="69A54610" w14:textId="2894FF6D" w:rsidR="0057541A" w:rsidRPr="00BB4804" w:rsidRDefault="00BB4804">
            <w:pPr>
              <w:jc w:val="both"/>
            </w:pPr>
            <w:r w:rsidRPr="00BB4804">
              <w:rPr>
                <w:rFonts w:ascii="Arial" w:eastAsia="Arial" w:hAnsi="Arial" w:cs="Arial"/>
                <w:b/>
                <w:sz w:val="22"/>
                <w:szCs w:val="22"/>
              </w:rPr>
              <w:t>Objectives and Methodology</w:t>
            </w:r>
            <w:r w:rsidRPr="00BB4804">
              <w:rPr>
                <w:rFonts w:ascii="Arial" w:eastAsia="Arial" w:hAnsi="Arial" w:cs="Arial"/>
                <w:sz w:val="22"/>
                <w:szCs w:val="22"/>
              </w:rPr>
              <w:t>: Given these complexities, this study unpacks key debates shaping how adaptation success is defined and measured. We conducted 50 semi-structured interviews with world-leading adaptation experts (scientists and practitioners) from July to December 2023. Participants were selected through purposive and snowball sampling to ensure diversity in professional background, geographical representation, gender, and thematic expertise. Data were analyzed thematically using NVivo 14, following an iterative coding process to identify recurring themes, tensions, and linkages.</w:t>
            </w:r>
          </w:p>
          <w:p w14:paraId="047DB0BB" w14:textId="77777777" w:rsidR="0057541A" w:rsidRPr="00BB4804" w:rsidRDefault="00BB4804">
            <w:pPr>
              <w:pStyle w:val="Heading1"/>
              <w:rPr>
                <w:rFonts w:eastAsia="Arial"/>
              </w:rPr>
            </w:pPr>
            <w:r w:rsidRPr="00BB4804">
              <w:t xml:space="preserve">Findings: </w:t>
            </w:r>
            <w:r w:rsidRPr="00BB4804">
              <w:rPr>
                <w:b w:val="0"/>
              </w:rPr>
              <w:t xml:space="preserve">Our findings reveal deep-seated debates, with two dominant narratives emerging: success as </w:t>
            </w:r>
            <w:r w:rsidRPr="00BB4804">
              <w:rPr>
                <w:b w:val="0"/>
                <w:i/>
              </w:rPr>
              <w:t xml:space="preserve">process </w:t>
            </w:r>
            <w:r w:rsidRPr="00BB4804">
              <w:rPr>
                <w:b w:val="0"/>
              </w:rPr>
              <w:t xml:space="preserve">and success as </w:t>
            </w:r>
            <w:r w:rsidRPr="00BB4804">
              <w:rPr>
                <w:b w:val="0"/>
                <w:i/>
              </w:rPr>
              <w:t>outcome</w:t>
            </w:r>
            <w:r w:rsidRPr="00BB4804">
              <w:rPr>
                <w:b w:val="0"/>
              </w:rPr>
              <w:t xml:space="preserve">. The </w:t>
            </w:r>
            <w:r w:rsidRPr="00BB4804">
              <w:rPr>
                <w:b w:val="0"/>
                <w:i/>
              </w:rPr>
              <w:t>process-oriented</w:t>
            </w:r>
            <w:r w:rsidRPr="00BB4804">
              <w:rPr>
                <w:b w:val="0"/>
              </w:rPr>
              <w:t xml:space="preserve"> view frames success through inclusive goal-setting, robust decision-making, and adaptive governance. This approach emphasises how decisions are made, by whom, and with what degree of inclusivity and flexibility, ensuring adaptation goals reflect diverse needs, particularly those of climate-affected communities. Conversely, the </w:t>
            </w:r>
            <w:r w:rsidRPr="00BB4804">
              <w:rPr>
                <w:b w:val="0"/>
                <w:i/>
              </w:rPr>
              <w:t>outcome-oriented</w:t>
            </w:r>
            <w:r w:rsidRPr="00BB4804">
              <w:rPr>
                <w:b w:val="0"/>
              </w:rPr>
              <w:t xml:space="preserve"> view focuses on risk reduction, minimized maladaptive outcomes, and broader development benefits. From this perspective, success must extend beyond planning to deliver measurable improvements in resilience and wellbeing, particularly for vulnerable communities. Both narratives converge on </w:t>
            </w:r>
            <w:r w:rsidRPr="00BB4804">
              <w:rPr>
                <w:b w:val="0"/>
                <w:i/>
              </w:rPr>
              <w:t>justice</w:t>
            </w:r>
            <w:r w:rsidRPr="00BB4804">
              <w:rPr>
                <w:b w:val="0"/>
              </w:rPr>
              <w:t xml:space="preserve"> as a guiding principle, ensuring the inclusion of historically marginalized groups and the equitable distribution of adaptation benefits. The study also highlights persistent challenges in measuring adaptation success, including reliance on proxy indicators and inadequate baselines; uncertainty associated with long-term impacts and the evolving nature of climate risks; difficulty in scaling localised successes to broader adaptation goals; and ontological ambiguities surrounding the very notion of “success”. Addressing these challenges is essential to move adaptation toward more comprehensive, actionable, and scalable solutions.</w:t>
            </w:r>
          </w:p>
          <w:p w14:paraId="64F19780" w14:textId="19D6B3D6" w:rsidR="0057541A" w:rsidRPr="00BB4804" w:rsidRDefault="00BB4804">
            <w:pPr>
              <w:jc w:val="both"/>
              <w:rPr>
                <w:rFonts w:ascii="Arial" w:eastAsia="Arial" w:hAnsi="Arial" w:cs="Arial"/>
                <w:sz w:val="22"/>
                <w:szCs w:val="22"/>
              </w:rPr>
            </w:pPr>
            <w:r w:rsidRPr="00BB4804">
              <w:rPr>
                <w:rFonts w:ascii="Arial" w:eastAsia="Arial" w:hAnsi="Arial" w:cs="Arial"/>
                <w:b/>
                <w:sz w:val="22"/>
                <w:szCs w:val="22"/>
              </w:rPr>
              <w:t>Significance for Policy and Practice</w:t>
            </w:r>
            <w:r w:rsidRPr="00BB4804">
              <w:rPr>
                <w:rFonts w:ascii="Arial" w:eastAsia="Arial" w:hAnsi="Arial" w:cs="Arial"/>
                <w:sz w:val="22"/>
                <w:szCs w:val="22"/>
              </w:rPr>
              <w:t xml:space="preserve">: The findings are particularly timely for global adaptation efforts, including the IPCC’s upcoming Seventh Assessment Report, the Special Report on Cities and Climate Change, and the revision of the IPCC’s 1994 Technical Guidelines for assessing adaptation. As the Global Goal on Adaptation gains prominence – with metrics to be finalized at COP30 in Brazil – this work provides critical insights to guide these processes. By uncovering diverse but recurrent debates in defining and measuring adaptation, the study advances scholarship on adaptation evaluation while informing adaptation planning and implementation at multiple governance scales. Our results suggest that assessments of adaptation should move beyond binary framings of success or failure, process or outcome, and instead adopt </w:t>
            </w:r>
            <w:r w:rsidRPr="00BB4804">
              <w:rPr>
                <w:rFonts w:ascii="Arial" w:eastAsia="Arial" w:hAnsi="Arial" w:cs="Arial"/>
                <w:i/>
                <w:sz w:val="22"/>
                <w:szCs w:val="22"/>
              </w:rPr>
              <w:t xml:space="preserve">justice </w:t>
            </w:r>
            <w:r w:rsidRPr="00BB4804">
              <w:rPr>
                <w:rFonts w:ascii="Arial" w:eastAsia="Arial" w:hAnsi="Arial" w:cs="Arial"/>
                <w:sz w:val="22"/>
                <w:szCs w:val="22"/>
              </w:rPr>
              <w:t>as a unifying principle that reconciles competing perspectives. This approach can foster more inclusive, equitable, and actionable adaptation futures.</w:t>
            </w:r>
          </w:p>
          <w:p w14:paraId="4E3FCB3B" w14:textId="39099A14" w:rsidR="0057541A" w:rsidRPr="00BB4804" w:rsidRDefault="0057541A" w:rsidP="00617460">
            <w:pPr>
              <w:pBdr>
                <w:top w:val="nil"/>
                <w:left w:val="nil"/>
                <w:bottom w:val="nil"/>
                <w:right w:val="nil"/>
                <w:between w:val="nil"/>
              </w:pBdr>
              <w:jc w:val="both"/>
              <w:rPr>
                <w:rFonts w:ascii="Arial" w:eastAsia="Arial" w:hAnsi="Arial" w:cs="Arial"/>
                <w:b/>
                <w:color w:val="000000"/>
                <w:sz w:val="22"/>
                <w:szCs w:val="22"/>
              </w:rPr>
            </w:pPr>
          </w:p>
        </w:tc>
      </w:tr>
    </w:tbl>
    <w:p w14:paraId="2A66ADCE" w14:textId="77777777" w:rsidR="0057541A" w:rsidRDefault="0057541A">
      <w:pPr>
        <w:rPr>
          <w:rFonts w:ascii="Arial" w:eastAsia="Arial" w:hAnsi="Arial" w:cs="Arial"/>
          <w:sz w:val="22"/>
          <w:szCs w:val="22"/>
        </w:rPr>
      </w:pPr>
    </w:p>
    <w:sectPr w:rsidR="0057541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F2128"/>
    <w:multiLevelType w:val="multilevel"/>
    <w:tmpl w:val="721C003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782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1A"/>
    <w:rsid w:val="0057541A"/>
    <w:rsid w:val="00617460"/>
    <w:rsid w:val="0082345D"/>
    <w:rsid w:val="00BB48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1985"/>
  <w15:docId w15:val="{4D86EF8E-68E5-447C-A1E9-2B0BAE36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231"/>
    <w:rPr>
      <w:rFonts w:asciiTheme="minorHAnsi" w:eastAsiaTheme="minorEastAsia" w:hAnsiTheme="minorHAnsi"/>
      <w:lang w:val="en-CA" w:eastAsia="zh-TW"/>
    </w:rPr>
  </w:style>
  <w:style w:type="paragraph" w:styleId="Heading1">
    <w:name w:val="heading 1"/>
    <w:basedOn w:val="Normal"/>
    <w:next w:val="Normal"/>
    <w:link w:val="Heading1Char"/>
    <w:uiPriority w:val="9"/>
    <w:qFormat/>
    <w:rsid w:val="008D4231"/>
    <w:pPr>
      <w:keepNext/>
      <w:jc w:val="both"/>
      <w:outlineLvl w:val="0"/>
    </w:pPr>
    <w:rPr>
      <w:rFonts w:ascii="Arial" w:eastAsia="Times New Roman" w:hAnsi="Arial" w:cs="Arial"/>
      <w:b/>
      <w:bCs/>
      <w:sz w:val="22"/>
      <w:szCs w:val="22"/>
      <w:lang w:val="en-NZ" w:eastAsia="en-NZ"/>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8D4231"/>
    <w:rPr>
      <w:rFonts w:ascii="Arial" w:eastAsia="Times New Roman" w:hAnsi="Arial" w:cs="Arial"/>
      <w:b/>
      <w:bCs/>
      <w:sz w:val="22"/>
      <w:lang w:val="en-NZ" w:eastAsia="en-NZ"/>
    </w:rPr>
  </w:style>
  <w:style w:type="table" w:styleId="TableGrid">
    <w:name w:val="Table Grid"/>
    <w:basedOn w:val="TableNormal"/>
    <w:rsid w:val="008D4231"/>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231"/>
    <w:pPr>
      <w:ind w:left="720"/>
      <w:contextualSpacing/>
    </w:pPr>
  </w:style>
  <w:style w:type="paragraph" w:styleId="BodyText">
    <w:name w:val="Body Text"/>
    <w:basedOn w:val="Normal"/>
    <w:link w:val="BodyTextChar"/>
    <w:uiPriority w:val="99"/>
    <w:unhideWhenUsed/>
    <w:rsid w:val="008D4231"/>
    <w:pPr>
      <w:jc w:val="both"/>
    </w:pPr>
    <w:rPr>
      <w:rFonts w:ascii="Arial" w:eastAsia="Times New Roman" w:hAnsi="Arial" w:cs="Arial"/>
      <w:bCs/>
      <w:sz w:val="22"/>
      <w:szCs w:val="22"/>
      <w:lang w:val="en-GB" w:eastAsia="en-NZ"/>
    </w:rPr>
  </w:style>
  <w:style w:type="character" w:customStyle="1" w:styleId="BodyTextChar">
    <w:name w:val="Body Text Char"/>
    <w:basedOn w:val="DefaultParagraphFont"/>
    <w:link w:val="BodyText"/>
    <w:uiPriority w:val="99"/>
    <w:rsid w:val="008D4231"/>
    <w:rPr>
      <w:rFonts w:ascii="Arial" w:eastAsia="Times New Roman" w:hAnsi="Arial" w:cs="Arial"/>
      <w:bCs/>
      <w:sz w:val="22"/>
      <w:lang w:eastAsia="en-NZ"/>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AGxzej5M9nZQzTmA6kAwLxnPQ==">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</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88C6F7-FABE-4968-9469-CC4994124D9C}">
  <ds:schemaRefs>
    <ds:schemaRef ds:uri="cab52c9b-ab33-4221-8af9-54f8f2b86a80"/>
    <ds:schemaRef ds:uri="6911e96c-4cc4-42d5-8e43-f93924cf6a05"/>
    <ds:schemaRef ds:uri="http://purl.org/dc/dcmitype/"/>
    <ds:schemaRef ds:uri="9c8a2b7b-0bee-4c48-b0a6-23db8982d3bc"/>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9042BE1-5563-4047-BB64-772B5ED7B919}">
  <ds:schemaRefs>
    <ds:schemaRef ds:uri="http://schemas.microsoft.com/sharepoint/v3/contenttype/forms"/>
  </ds:schemaRefs>
</ds:datastoreItem>
</file>

<file path=customXml/itemProps4.xml><?xml version="1.0" encoding="utf-8"?>
<ds:datastoreItem xmlns:ds="http://schemas.openxmlformats.org/officeDocument/2006/customXml" ds:itemID="{69FD9642-BFDA-4F74-A7C5-045912790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Terra Amorim</dc:creator>
  <cp:lastModifiedBy>Bethany Yee</cp:lastModifiedBy>
  <cp:revision>3</cp:revision>
  <dcterms:created xsi:type="dcterms:W3CDTF">2025-02-25T12:06:00Z</dcterms:created>
  <dcterms:modified xsi:type="dcterms:W3CDTF">2025-08-11T00:38:00Z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