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3"/>
      </w:tblGrid>
      <w:tr w:rsidR="001564A4" w:rsidRPr="0050053A" w14:paraId="5C38377B" w14:textId="77777777" w:rsidTr="004D3324">
        <w:trPr>
          <w:trHeight w:val="843"/>
          <w:jc w:val="center"/>
        </w:trPr>
        <w:tc>
          <w:tcPr>
            <w:tcW w:w="8923" w:type="dxa"/>
            <w:shd w:val="clear" w:color="auto" w:fill="auto"/>
          </w:tcPr>
          <w:p w14:paraId="5C44F357" w14:textId="42F1BFBC" w:rsidR="001564A4" w:rsidRPr="0050053A" w:rsidRDefault="0083460E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Changes in 6MWD in </w:t>
            </w:r>
            <w:r w:rsidR="0006757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patients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with pulmonary arterial hypertension over a 24-month period.</w:t>
            </w:r>
          </w:p>
        </w:tc>
      </w:tr>
      <w:tr w:rsidR="001564A4" w:rsidRPr="0050053A" w14:paraId="0E2E035C" w14:textId="77777777" w:rsidTr="004D3324">
        <w:trPr>
          <w:trHeight w:val="861"/>
          <w:jc w:val="center"/>
        </w:trPr>
        <w:tc>
          <w:tcPr>
            <w:tcW w:w="8923" w:type="dxa"/>
            <w:shd w:val="clear" w:color="auto" w:fill="auto"/>
          </w:tcPr>
          <w:p w14:paraId="73B55295" w14:textId="19D663D2" w:rsidR="001564A4" w:rsidRPr="00FC3582" w:rsidRDefault="00A073E4" w:rsidP="000A28E2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Caitlin </w:t>
            </w:r>
            <w:r w:rsidRPr="00413F25">
              <w:rPr>
                <w:rFonts w:ascii="Arial" w:eastAsia="Calibri" w:hAnsi="Arial" w:cs="Arial"/>
                <w:sz w:val="22"/>
                <w:szCs w:val="22"/>
                <w:lang w:val="en-AU"/>
              </w:rPr>
              <w:t>Vicary</w:t>
            </w:r>
            <w:r w:rsidRPr="00413F25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, Kathryn Watson</w:t>
            </w:r>
            <w:r w:rsidRPr="00413F25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, Peta Winship</w:t>
            </w:r>
            <w:r w:rsidRPr="00413F25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>1</w:t>
            </w:r>
            <w:r w:rsidR="00912466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>,4</w:t>
            </w:r>
            <w:r w:rsidR="00FC3582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Stephanie Stray</w:t>
            </w:r>
            <w:r w:rsidRPr="00413F25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>1</w:t>
            </w:r>
            <w:r w:rsidR="00FC3582">
              <w:rPr>
                <w:rFonts w:ascii="Arial" w:eastAsia="Calibri" w:hAnsi="Arial" w:cs="Arial"/>
                <w:sz w:val="22"/>
                <w:szCs w:val="22"/>
                <w:lang w:val="en-AU"/>
              </w:rPr>
              <w:t>,</w:t>
            </w:r>
            <w:r w:rsidR="003805CE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</w:t>
            </w:r>
            <w:r w:rsidR="00952E9C">
              <w:rPr>
                <w:rFonts w:ascii="Arial" w:eastAsia="Calibri" w:hAnsi="Arial" w:cs="Arial"/>
                <w:sz w:val="22"/>
                <w:szCs w:val="22"/>
                <w:lang w:val="en-AU"/>
              </w:rPr>
              <w:t>Kylie Hill</w:t>
            </w:r>
            <w:r w:rsidR="00952E9C" w:rsidRPr="00952E9C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>2</w:t>
            </w:r>
            <w:r w:rsidR="00952E9C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, </w:t>
            </w:r>
            <w:r w:rsidRPr="009D09D1">
              <w:rPr>
                <w:rFonts w:ascii="Arial" w:eastAsia="Calibri" w:hAnsi="Arial" w:cs="Arial"/>
                <w:sz w:val="22"/>
                <w:szCs w:val="22"/>
                <w:lang w:val="en-AU"/>
              </w:rPr>
              <w:t>Vinicius Cavalheri</w:t>
            </w:r>
            <w:r w:rsidR="00FC3582">
              <w:rPr>
                <w:rFonts w:ascii="Arial" w:eastAsia="Calibri" w:hAnsi="Arial" w:cs="Arial"/>
                <w:sz w:val="22"/>
                <w:szCs w:val="22"/>
                <w:vertAlign w:val="superscript"/>
                <w:lang w:val="en-AU"/>
              </w:rPr>
              <w:t xml:space="preserve">2,3   </w:t>
            </w:r>
          </w:p>
        </w:tc>
      </w:tr>
      <w:tr w:rsidR="001564A4" w:rsidRPr="0050053A" w14:paraId="385A19D9" w14:textId="77777777" w:rsidTr="004D3324">
        <w:trPr>
          <w:trHeight w:val="155"/>
          <w:jc w:val="center"/>
        </w:trPr>
        <w:tc>
          <w:tcPr>
            <w:tcW w:w="8923" w:type="dxa"/>
            <w:shd w:val="clear" w:color="auto" w:fill="auto"/>
          </w:tcPr>
          <w:p w14:paraId="4F244DDF" w14:textId="0544E792" w:rsidR="00FC3582" w:rsidRDefault="00A073E4" w:rsidP="00A073E4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/>
              </w:rPr>
            </w:pPr>
            <w:r w:rsidRPr="00EB42C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/>
              </w:rPr>
              <w:t xml:space="preserve">1 </w:t>
            </w:r>
            <w:r w:rsidRPr="00413F25">
              <w:rPr>
                <w:rFonts w:ascii="Arial" w:hAnsi="Arial" w:cs="Arial"/>
                <w:i/>
                <w:sz w:val="22"/>
                <w:szCs w:val="22"/>
                <w:lang w:val="en-AU"/>
              </w:rPr>
              <w:t>Physiotherapy Department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>, Fiona Stanley Hospital</w:t>
            </w:r>
            <w:r w:rsidR="00D70AB8">
              <w:rPr>
                <w:rFonts w:ascii="Arial" w:hAnsi="Arial" w:cs="Arial"/>
                <w:i/>
                <w:sz w:val="22"/>
                <w:szCs w:val="22"/>
                <w:lang w:val="en-AU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Perth</w:t>
            </w:r>
            <w:r w:rsidR="0083460E">
              <w:rPr>
                <w:rFonts w:ascii="Arial" w:hAnsi="Arial" w:cs="Arial"/>
                <w:i/>
                <w:sz w:val="22"/>
                <w:szCs w:val="22"/>
                <w:lang w:val="en-AU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WA</w:t>
            </w:r>
            <w:r w:rsidR="00FC3582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</w:t>
            </w:r>
          </w:p>
          <w:p w14:paraId="73FB5331" w14:textId="6F497E28" w:rsidR="00A073E4" w:rsidRPr="00912466" w:rsidRDefault="00FC3582" w:rsidP="00A073E4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/>
              </w:rPr>
            </w:pPr>
            <w:r w:rsidRPr="00912466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/>
              </w:rPr>
              <w:t>2</w:t>
            </w:r>
            <w:r w:rsidR="00A073E4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</w:t>
            </w:r>
            <w:r w:rsidR="00952E9C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Curtin School </w:t>
            </w:r>
            <w:r w:rsid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>o</w:t>
            </w:r>
            <w:r w:rsidR="00952E9C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>f Allied Health</w:t>
            </w:r>
            <w:r w:rsidR="00A073E4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, Faculty of Health Sciences, </w:t>
            </w:r>
            <w:r w:rsidR="00340591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>Curtin University</w:t>
            </w:r>
            <w:r w:rsidR="00A073E4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>, Perth, WA</w:t>
            </w:r>
          </w:p>
          <w:p w14:paraId="634FEACE" w14:textId="50C0363F" w:rsidR="001564A4" w:rsidRPr="00912466" w:rsidRDefault="00FC3582" w:rsidP="00FC3582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  <w:r w:rsidRPr="00912466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/>
              </w:rPr>
              <w:t>3</w:t>
            </w:r>
            <w:r w:rsidR="00A073E4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</w:t>
            </w:r>
            <w:r w:rsidR="00A073E4" w:rsidRPr="00912466">
              <w:rPr>
                <w:rFonts w:ascii="Arial" w:hAnsi="Arial" w:cs="Arial"/>
                <w:i/>
                <w:spacing w:val="-4"/>
                <w:sz w:val="22"/>
                <w:szCs w:val="22"/>
                <w:lang w:val="en-AU"/>
              </w:rPr>
              <w:t>Allied Health, South Metropolitan Health Service, Perth, WA</w:t>
            </w:r>
            <w:r w:rsidR="00A073E4"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</w:t>
            </w:r>
          </w:p>
          <w:p w14:paraId="45ED36BF" w14:textId="5C7F27DC" w:rsidR="00912466" w:rsidRPr="00FC3582" w:rsidRDefault="00912466" w:rsidP="00FC3582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  <w:r w:rsidRPr="00912466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/>
              </w:rPr>
              <w:t>4</w:t>
            </w:r>
            <w:r w:rsidRPr="00912466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National School of Health Sciences and Physiotherapy, Notre Dame University, Fremantle, WA</w:t>
            </w:r>
          </w:p>
        </w:tc>
      </w:tr>
      <w:tr w:rsidR="001564A4" w:rsidRPr="0050053A" w14:paraId="6DAF615A" w14:textId="77777777" w:rsidTr="004D3324">
        <w:trPr>
          <w:trHeight w:hRule="exact" w:val="10450"/>
          <w:jc w:val="center"/>
        </w:trPr>
        <w:tc>
          <w:tcPr>
            <w:tcW w:w="8923" w:type="dxa"/>
            <w:shd w:val="clear" w:color="auto" w:fill="auto"/>
          </w:tcPr>
          <w:p w14:paraId="739E7937" w14:textId="037CCE01" w:rsidR="001564A4" w:rsidRPr="00007438" w:rsidRDefault="001564A4" w:rsidP="000A28E2">
            <w:pPr>
              <w:pStyle w:val="Pa12"/>
              <w:rPr>
                <w:rStyle w:val="A4"/>
              </w:rPr>
            </w:pPr>
            <w:r w:rsidRPr="00007438">
              <w:rPr>
                <w:rStyle w:val="A4"/>
                <w:b/>
                <w:bCs/>
              </w:rPr>
              <w:t xml:space="preserve">Introduction: </w:t>
            </w:r>
          </w:p>
          <w:p w14:paraId="4D4FEA0B" w14:textId="03E4789B" w:rsidR="00C74109" w:rsidRPr="00007438" w:rsidRDefault="00952E9C" w:rsidP="00C7410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Our research questions were: (i) w</w:t>
            </w:r>
            <w:r w:rsidRPr="00952E9C">
              <w:rPr>
                <w:color w:val="auto"/>
                <w:sz w:val="22"/>
                <w:szCs w:val="22"/>
              </w:rPr>
              <w:t>hat proportion of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067578">
              <w:rPr>
                <w:color w:val="auto"/>
                <w:sz w:val="22"/>
                <w:szCs w:val="22"/>
              </w:rPr>
              <w:t>patients</w:t>
            </w:r>
            <w:r>
              <w:rPr>
                <w:color w:val="auto"/>
                <w:sz w:val="22"/>
                <w:szCs w:val="22"/>
              </w:rPr>
              <w:t xml:space="preserve"> with </w:t>
            </w:r>
            <w:r w:rsidR="00746A1D">
              <w:rPr>
                <w:color w:val="auto"/>
                <w:sz w:val="22"/>
                <w:szCs w:val="22"/>
              </w:rPr>
              <w:t>pulmonary arterial hypertension (</w:t>
            </w:r>
            <w:r>
              <w:rPr>
                <w:color w:val="auto"/>
                <w:sz w:val="22"/>
                <w:szCs w:val="22"/>
              </w:rPr>
              <w:t>PAH</w:t>
            </w:r>
            <w:r w:rsidR="00746A1D">
              <w:rPr>
                <w:color w:val="auto"/>
                <w:sz w:val="22"/>
                <w:szCs w:val="22"/>
              </w:rPr>
              <w:t>)</w:t>
            </w:r>
            <w:r w:rsidRPr="00952E9C">
              <w:rPr>
                <w:color w:val="auto"/>
                <w:sz w:val="22"/>
                <w:szCs w:val="22"/>
              </w:rPr>
              <w:t xml:space="preserve"> ha</w:t>
            </w:r>
            <w:r w:rsidR="00112223">
              <w:rPr>
                <w:color w:val="auto"/>
                <w:sz w:val="22"/>
                <w:szCs w:val="22"/>
              </w:rPr>
              <w:t>ve</w:t>
            </w:r>
            <w:r w:rsidR="002A5EBA">
              <w:rPr>
                <w:color w:val="auto"/>
                <w:sz w:val="22"/>
                <w:szCs w:val="22"/>
              </w:rPr>
              <w:t xml:space="preserve"> a clinically meaningful</w:t>
            </w:r>
            <w:r w:rsidRPr="00952E9C">
              <w:rPr>
                <w:color w:val="auto"/>
                <w:sz w:val="22"/>
                <w:szCs w:val="22"/>
              </w:rPr>
              <w:t xml:space="preserve"> </w:t>
            </w:r>
            <w:r w:rsidR="002A5EBA">
              <w:rPr>
                <w:color w:val="auto"/>
                <w:sz w:val="22"/>
                <w:szCs w:val="22"/>
              </w:rPr>
              <w:t>d</w:t>
            </w:r>
            <w:r w:rsidRPr="00952E9C">
              <w:rPr>
                <w:color w:val="auto"/>
                <w:sz w:val="22"/>
                <w:szCs w:val="22"/>
              </w:rPr>
              <w:t>eterioration in 6MW</w:t>
            </w:r>
            <w:r>
              <w:rPr>
                <w:color w:val="auto"/>
                <w:sz w:val="22"/>
                <w:szCs w:val="22"/>
              </w:rPr>
              <w:t>D</w:t>
            </w:r>
            <w:r w:rsidRPr="00952E9C">
              <w:rPr>
                <w:color w:val="auto"/>
                <w:sz w:val="22"/>
                <w:szCs w:val="22"/>
              </w:rPr>
              <w:t xml:space="preserve"> within 24 months of </w:t>
            </w:r>
            <w:r>
              <w:rPr>
                <w:color w:val="auto"/>
                <w:sz w:val="22"/>
                <w:szCs w:val="22"/>
              </w:rPr>
              <w:t xml:space="preserve">their </w:t>
            </w:r>
            <w:r w:rsidRPr="00952E9C">
              <w:rPr>
                <w:color w:val="auto"/>
                <w:sz w:val="22"/>
                <w:szCs w:val="22"/>
              </w:rPr>
              <w:t xml:space="preserve">first </w:t>
            </w:r>
            <w:r w:rsidR="00CF1FD8">
              <w:rPr>
                <w:sz w:val="22"/>
                <w:szCs w:val="22"/>
              </w:rPr>
              <w:t>six-minute walk test (6MWT)</w:t>
            </w:r>
            <w:r w:rsidRPr="00952E9C">
              <w:rPr>
                <w:color w:val="auto"/>
                <w:sz w:val="22"/>
                <w:szCs w:val="22"/>
              </w:rPr>
              <w:t>?</w:t>
            </w:r>
            <w:r>
              <w:rPr>
                <w:color w:val="auto"/>
                <w:sz w:val="22"/>
                <w:szCs w:val="22"/>
              </w:rPr>
              <w:t xml:space="preserve"> (ii) what are the characteristics of those who deteriorate? </w:t>
            </w:r>
            <w:r w:rsidR="002A5EBA">
              <w:rPr>
                <w:color w:val="auto"/>
                <w:sz w:val="22"/>
                <w:szCs w:val="22"/>
              </w:rPr>
              <w:t>(iii) w</w:t>
            </w:r>
            <w:r w:rsidR="002A5EBA" w:rsidRPr="002A5EBA">
              <w:rPr>
                <w:color w:val="auto"/>
                <w:sz w:val="22"/>
                <w:szCs w:val="22"/>
              </w:rPr>
              <w:t xml:space="preserve">hat proportion </w:t>
            </w:r>
            <w:r w:rsidR="002A5EBA">
              <w:rPr>
                <w:color w:val="auto"/>
                <w:sz w:val="22"/>
                <w:szCs w:val="22"/>
              </w:rPr>
              <w:t xml:space="preserve">of those who deteriorate </w:t>
            </w:r>
            <w:r w:rsidR="002A5EBA" w:rsidRPr="002A5EBA">
              <w:rPr>
                <w:color w:val="auto"/>
                <w:sz w:val="22"/>
                <w:szCs w:val="22"/>
              </w:rPr>
              <w:t>return to baseline 6MW</w:t>
            </w:r>
            <w:r w:rsidR="002A5EBA">
              <w:rPr>
                <w:color w:val="auto"/>
                <w:sz w:val="22"/>
                <w:szCs w:val="22"/>
              </w:rPr>
              <w:t>D</w:t>
            </w:r>
            <w:r w:rsidR="002A5EBA" w:rsidRPr="002A5EBA">
              <w:rPr>
                <w:color w:val="auto"/>
                <w:sz w:val="22"/>
                <w:szCs w:val="22"/>
              </w:rPr>
              <w:t xml:space="preserve"> within the </w:t>
            </w:r>
            <w:r w:rsidR="002A5EBA">
              <w:rPr>
                <w:color w:val="auto"/>
                <w:sz w:val="22"/>
                <w:szCs w:val="22"/>
              </w:rPr>
              <w:t>following</w:t>
            </w:r>
            <w:r w:rsidR="002A5EBA" w:rsidRPr="002A5EBA">
              <w:rPr>
                <w:color w:val="auto"/>
                <w:sz w:val="22"/>
                <w:szCs w:val="22"/>
              </w:rPr>
              <w:t xml:space="preserve"> 12 months?</w:t>
            </w:r>
          </w:p>
          <w:p w14:paraId="3D770CF7" w14:textId="77777777" w:rsidR="001564A4" w:rsidRPr="00007438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007438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007438">
              <w:rPr>
                <w:rStyle w:val="A4"/>
                <w:b/>
                <w:bCs/>
              </w:rPr>
              <w:t xml:space="preserve">Methods: </w:t>
            </w:r>
          </w:p>
          <w:p w14:paraId="5029BAE6" w14:textId="6AB0D9BE" w:rsidR="001564A4" w:rsidRPr="00007438" w:rsidRDefault="00CF1FD8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R</w:t>
            </w:r>
            <w:r w:rsidR="00C74109" w:rsidRPr="00007438">
              <w:rPr>
                <w:sz w:val="22"/>
                <w:szCs w:val="22"/>
              </w:rPr>
              <w:t xml:space="preserve">etrospective analysis of </w:t>
            </w:r>
            <w:r>
              <w:rPr>
                <w:sz w:val="22"/>
                <w:szCs w:val="22"/>
              </w:rPr>
              <w:t xml:space="preserve">data from </w:t>
            </w:r>
            <w:r w:rsidR="00C74109" w:rsidRPr="00007438">
              <w:rPr>
                <w:sz w:val="22"/>
                <w:szCs w:val="22"/>
              </w:rPr>
              <w:t xml:space="preserve">the Advanced Lung Disease </w:t>
            </w:r>
            <w:r w:rsidR="000C73D3">
              <w:rPr>
                <w:sz w:val="22"/>
                <w:szCs w:val="22"/>
              </w:rPr>
              <w:t>u</w:t>
            </w:r>
            <w:r w:rsidR="00C74109" w:rsidRPr="00007438">
              <w:rPr>
                <w:sz w:val="22"/>
                <w:szCs w:val="22"/>
              </w:rPr>
              <w:t>nit at Fiona Stanley Hospital</w:t>
            </w:r>
            <w:r>
              <w:rPr>
                <w:sz w:val="22"/>
                <w:szCs w:val="22"/>
              </w:rPr>
              <w:t>, WA.</w:t>
            </w:r>
            <w:r w:rsidR="00C74109" w:rsidRPr="000074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Inclusion criteria </w:t>
            </w:r>
            <w:proofErr w:type="gramStart"/>
            <w:r>
              <w:rPr>
                <w:sz w:val="22"/>
                <w:szCs w:val="22"/>
              </w:rPr>
              <w:t>were: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208F4">
              <w:rPr>
                <w:sz w:val="22"/>
                <w:szCs w:val="22"/>
              </w:rPr>
              <w:t xml:space="preserve">patients </w:t>
            </w:r>
            <w:r>
              <w:rPr>
                <w:sz w:val="22"/>
                <w:szCs w:val="22"/>
              </w:rPr>
              <w:t xml:space="preserve">with </w:t>
            </w:r>
            <w:r w:rsidRPr="00007438">
              <w:rPr>
                <w:sz w:val="22"/>
                <w:szCs w:val="22"/>
              </w:rPr>
              <w:t>PAH</w:t>
            </w:r>
            <w:r w:rsidR="0035776E">
              <w:rPr>
                <w:sz w:val="22"/>
                <w:szCs w:val="22"/>
              </w:rPr>
              <w:t xml:space="preserve"> undergoing usual care</w:t>
            </w:r>
            <w:r>
              <w:rPr>
                <w:sz w:val="22"/>
                <w:szCs w:val="22"/>
              </w:rPr>
              <w:t>, with at least three 6MWT performed within 24 months following the first 6MWT</w:t>
            </w:r>
            <w:r w:rsidR="008E1EA6">
              <w:rPr>
                <w:sz w:val="22"/>
                <w:szCs w:val="22"/>
              </w:rPr>
              <w:t xml:space="preserve"> and,</w:t>
            </w:r>
            <w:r>
              <w:rPr>
                <w:sz w:val="22"/>
                <w:szCs w:val="22"/>
              </w:rPr>
              <w:t xml:space="preserve"> in those who deteriorated, at least two 6MWTs in the following 12 months. </w:t>
            </w:r>
            <w:r w:rsidR="002A5EBA">
              <w:rPr>
                <w:sz w:val="22"/>
                <w:szCs w:val="22"/>
              </w:rPr>
              <w:t>Clinically meaningful d</w:t>
            </w:r>
            <w:r>
              <w:rPr>
                <w:sz w:val="22"/>
                <w:szCs w:val="22"/>
              </w:rPr>
              <w:t xml:space="preserve">eterioration was defined as a reduction in 6MWD greater than the </w:t>
            </w:r>
            <w:r w:rsidRPr="00CF1FD8">
              <w:rPr>
                <w:sz w:val="22"/>
                <w:szCs w:val="22"/>
              </w:rPr>
              <w:t xml:space="preserve">minimally important difference of 34m. </w:t>
            </w:r>
            <w:r w:rsidR="008E1983">
              <w:rPr>
                <w:sz w:val="22"/>
                <w:szCs w:val="22"/>
              </w:rPr>
              <w:t xml:space="preserve">Data on age, </w:t>
            </w:r>
            <w:r w:rsidR="009E1E93">
              <w:rPr>
                <w:sz w:val="22"/>
                <w:szCs w:val="22"/>
              </w:rPr>
              <w:t>sex,</w:t>
            </w:r>
            <w:r w:rsidR="00360041">
              <w:rPr>
                <w:sz w:val="22"/>
                <w:szCs w:val="22"/>
              </w:rPr>
              <w:t xml:space="preserve"> </w:t>
            </w:r>
            <w:r w:rsidR="009E1E93">
              <w:rPr>
                <w:sz w:val="22"/>
                <w:szCs w:val="22"/>
              </w:rPr>
              <w:t>and World</w:t>
            </w:r>
            <w:r w:rsidR="0035776E">
              <w:rPr>
                <w:sz w:val="22"/>
                <w:szCs w:val="22"/>
              </w:rPr>
              <w:t xml:space="preserve"> Health Organisation (</w:t>
            </w:r>
            <w:r w:rsidR="00D57BC3">
              <w:rPr>
                <w:sz w:val="22"/>
                <w:szCs w:val="22"/>
              </w:rPr>
              <w:t>WHO</w:t>
            </w:r>
            <w:r w:rsidR="0035776E">
              <w:rPr>
                <w:sz w:val="22"/>
                <w:szCs w:val="22"/>
              </w:rPr>
              <w:t xml:space="preserve">) </w:t>
            </w:r>
            <w:r w:rsidR="00D57BC3">
              <w:rPr>
                <w:sz w:val="22"/>
                <w:szCs w:val="22"/>
              </w:rPr>
              <w:t xml:space="preserve">functional </w:t>
            </w:r>
            <w:r w:rsidR="001D1C77">
              <w:rPr>
                <w:sz w:val="22"/>
                <w:szCs w:val="22"/>
              </w:rPr>
              <w:t xml:space="preserve">status </w:t>
            </w:r>
            <w:r w:rsidR="00D57BC3">
              <w:rPr>
                <w:sz w:val="22"/>
                <w:szCs w:val="22"/>
              </w:rPr>
              <w:t>classification</w:t>
            </w:r>
            <w:r w:rsidR="00471D71">
              <w:rPr>
                <w:sz w:val="22"/>
                <w:szCs w:val="22"/>
              </w:rPr>
              <w:t xml:space="preserve"> (dichotomised into </w:t>
            </w:r>
            <w:r w:rsidR="00EA015E">
              <w:rPr>
                <w:sz w:val="22"/>
                <w:szCs w:val="22"/>
              </w:rPr>
              <w:t xml:space="preserve">I-II </w:t>
            </w:r>
            <w:r w:rsidR="00EA015E" w:rsidRPr="00EA015E">
              <w:rPr>
                <w:i/>
                <w:iCs/>
                <w:sz w:val="22"/>
                <w:szCs w:val="22"/>
              </w:rPr>
              <w:t>vs</w:t>
            </w:r>
            <w:r w:rsidR="00EA015E">
              <w:rPr>
                <w:sz w:val="22"/>
                <w:szCs w:val="22"/>
              </w:rPr>
              <w:t xml:space="preserve"> III-IV)</w:t>
            </w:r>
            <w:r w:rsidR="008C1020">
              <w:rPr>
                <w:sz w:val="22"/>
                <w:szCs w:val="22"/>
              </w:rPr>
              <w:t xml:space="preserve"> </w:t>
            </w:r>
            <w:r w:rsidR="002C1032">
              <w:rPr>
                <w:sz w:val="22"/>
                <w:szCs w:val="22"/>
              </w:rPr>
              <w:t xml:space="preserve">were </w:t>
            </w:r>
            <w:r w:rsidR="00590B86">
              <w:rPr>
                <w:sz w:val="22"/>
                <w:szCs w:val="22"/>
              </w:rPr>
              <w:t>included in the analyses</w:t>
            </w:r>
            <w:r w:rsidR="00347C5A">
              <w:rPr>
                <w:sz w:val="22"/>
                <w:szCs w:val="22"/>
              </w:rPr>
              <w:t>.</w:t>
            </w:r>
            <w:r w:rsidR="001564A4" w:rsidRPr="00007438">
              <w:rPr>
                <w:sz w:val="22"/>
                <w:szCs w:val="22"/>
              </w:rPr>
              <w:br/>
            </w:r>
          </w:p>
          <w:p w14:paraId="6C219DB8" w14:textId="77777777" w:rsidR="0075256B" w:rsidRDefault="001564A4" w:rsidP="0075256B">
            <w:pPr>
              <w:pStyle w:val="Pa12"/>
              <w:rPr>
                <w:rStyle w:val="A4"/>
                <w:b/>
                <w:bCs/>
              </w:rPr>
            </w:pPr>
            <w:r w:rsidRPr="00007438">
              <w:rPr>
                <w:rStyle w:val="A4"/>
                <w:b/>
                <w:bCs/>
              </w:rPr>
              <w:t xml:space="preserve">Results: </w:t>
            </w:r>
          </w:p>
          <w:p w14:paraId="60AC8916" w14:textId="77777777" w:rsidR="0075256B" w:rsidRPr="00F76F91" w:rsidRDefault="0075256B" w:rsidP="007525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NZ"/>
              </w:rPr>
              <w:t xml:space="preserve">179 patients (age 54±16yr; 121 females) met the inclusion criteria. Of these, 106 (59%) </w:t>
            </w:r>
            <w:r w:rsidRPr="00007438">
              <w:rPr>
                <w:rFonts w:ascii="Arial" w:hAnsi="Arial" w:cs="Arial"/>
                <w:sz w:val="22"/>
                <w:szCs w:val="22"/>
              </w:rPr>
              <w:t>had a clinically meaningful deterioration in 6MW</w:t>
            </w:r>
            <w:r>
              <w:rPr>
                <w:rFonts w:ascii="Arial" w:hAnsi="Arial" w:cs="Arial"/>
                <w:sz w:val="22"/>
                <w:szCs w:val="22"/>
              </w:rPr>
              <w:t>D within 24 months.</w:t>
            </w:r>
            <w:r w:rsidRPr="000074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Compared to those who did not deteriorate, t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hose who </w:t>
            </w:r>
            <w:r>
              <w:rPr>
                <w:rFonts w:ascii="Arial" w:hAnsi="Arial" w:cs="Arial"/>
                <w:sz w:val="22"/>
                <w:szCs w:val="22"/>
              </w:rPr>
              <w:t>did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 were older (</w:t>
            </w:r>
            <w:r>
              <w:rPr>
                <w:rFonts w:ascii="Arial" w:hAnsi="Arial" w:cs="Arial"/>
                <w:sz w:val="22"/>
                <w:szCs w:val="22"/>
              </w:rPr>
              <w:t>mean difference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F76F91">
              <w:rPr>
                <w:rFonts w:ascii="Arial" w:hAnsi="Arial" w:cs="Arial"/>
                <w:sz w:val="22"/>
                <w:szCs w:val="22"/>
              </w:rPr>
              <w:t>yr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 95% CI 3 to 12), had a lower </w:t>
            </w:r>
            <w:r>
              <w:rPr>
                <w:rFonts w:ascii="Arial" w:hAnsi="Arial" w:cs="Arial"/>
                <w:sz w:val="22"/>
                <w:szCs w:val="22"/>
              </w:rPr>
              <w:t xml:space="preserve">initial </w:t>
            </w:r>
            <w:r w:rsidRPr="00F76F91">
              <w:rPr>
                <w:rFonts w:ascii="Arial" w:hAnsi="Arial" w:cs="Arial"/>
                <w:sz w:val="22"/>
                <w:szCs w:val="22"/>
              </w:rPr>
              <w:t>6MWD (-56m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 95% CI -91 to -21) and a greater proportion had </w:t>
            </w:r>
            <w:r>
              <w:rPr>
                <w:rFonts w:ascii="Arial" w:hAnsi="Arial" w:cs="Arial"/>
                <w:sz w:val="22"/>
                <w:szCs w:val="22"/>
              </w:rPr>
              <w:t>poorer functional status (WHO III-IV) (58% vs 31%; p=0.001)</w:t>
            </w:r>
            <w:r w:rsidRPr="00F76F9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Older age and poorer WHO functional status increased the odds of deterioration (odds ratio 1.03, 95% CI 1.00 to 1.06; and 3.2, 95% CI 1.5 to 6.5; respectively). Forty-four of the 106 participants who deteriorated </w:t>
            </w:r>
            <w:r w:rsidRPr="00F76F91">
              <w:rPr>
                <w:rFonts w:ascii="Arial" w:hAnsi="Arial" w:cs="Arial"/>
                <w:sz w:val="22"/>
                <w:szCs w:val="22"/>
              </w:rPr>
              <w:t>(42%) returned to baseline 6MW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 within the </w:t>
            </w:r>
            <w:r>
              <w:rPr>
                <w:rFonts w:ascii="Arial" w:hAnsi="Arial" w:cs="Arial"/>
                <w:sz w:val="22"/>
                <w:szCs w:val="22"/>
              </w:rPr>
              <w:t>following</w:t>
            </w:r>
            <w:r w:rsidRPr="00F76F91">
              <w:rPr>
                <w:rFonts w:ascii="Arial" w:hAnsi="Arial" w:cs="Arial"/>
                <w:sz w:val="22"/>
                <w:szCs w:val="22"/>
              </w:rPr>
              <w:t xml:space="preserve"> 12 months. </w:t>
            </w:r>
          </w:p>
          <w:p w14:paraId="68537800" w14:textId="0EEDBC0D" w:rsidR="001564A4" w:rsidRPr="0075256B" w:rsidRDefault="001564A4" w:rsidP="000A28E2">
            <w:pPr>
              <w:pStyle w:val="Pa12"/>
              <w:rPr>
                <w:rStyle w:val="A4"/>
                <w:b/>
                <w:bCs/>
              </w:rPr>
            </w:pPr>
          </w:p>
          <w:p w14:paraId="652F7BE1" w14:textId="77777777" w:rsidR="001564A4" w:rsidRPr="00007438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007438">
              <w:rPr>
                <w:rStyle w:val="A4"/>
                <w:b/>
                <w:bCs/>
              </w:rPr>
              <w:t xml:space="preserve">Conclusion: </w:t>
            </w:r>
          </w:p>
          <w:p w14:paraId="196E7BAC" w14:textId="2F37C4B9" w:rsidR="001564A4" w:rsidRDefault="005B1F20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Clinically meaningful deterioration in 6MWD in patients with PAH within a 24-month period is common and associated with older age and poorer functional status. However, nearly half who deteriorate recover within the following 12 months</w:t>
            </w:r>
            <w:r w:rsidR="009202CA">
              <w:rPr>
                <w:sz w:val="22"/>
                <w:szCs w:val="22"/>
              </w:rPr>
              <w:t>.</w:t>
            </w:r>
          </w:p>
          <w:p w14:paraId="49954954" w14:textId="77777777" w:rsidR="005B1F20" w:rsidRPr="005B1F20" w:rsidRDefault="005B1F20" w:rsidP="005B1F20">
            <w:pPr>
              <w:pStyle w:val="Default"/>
            </w:pPr>
          </w:p>
          <w:p w14:paraId="7830FCD2" w14:textId="35EAF71C" w:rsidR="005B1F20" w:rsidRPr="009202CA" w:rsidRDefault="001564A4" w:rsidP="005B1F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438">
              <w:rPr>
                <w:rStyle w:val="A4"/>
                <w:rFonts w:ascii="Arial" w:hAnsi="Arial" w:cs="Arial"/>
                <w:b/>
                <w:bCs/>
              </w:rPr>
              <w:t>Grant Support:</w:t>
            </w:r>
            <w:r w:rsidRPr="00007438">
              <w:rPr>
                <w:rStyle w:val="A4"/>
                <w:rFonts w:ascii="Arial" w:hAnsi="Arial" w:cs="Arial"/>
              </w:rPr>
              <w:t xml:space="preserve"> </w:t>
            </w:r>
            <w:r w:rsidR="005B1F20" w:rsidRPr="00007438">
              <w:rPr>
                <w:rStyle w:val="A4"/>
                <w:rFonts w:ascii="Arial" w:hAnsi="Arial" w:cs="Arial"/>
              </w:rPr>
              <w:t>S</w:t>
            </w:r>
            <w:r w:rsidR="005B1F20">
              <w:rPr>
                <w:rStyle w:val="A4"/>
                <w:rFonts w:ascii="Arial" w:hAnsi="Arial" w:cs="Arial"/>
              </w:rPr>
              <w:t>outh Metropolitan Health Service</w:t>
            </w:r>
            <w:r w:rsidR="005B1F20" w:rsidRPr="00007438">
              <w:rPr>
                <w:rStyle w:val="A4"/>
                <w:rFonts w:ascii="Arial" w:hAnsi="Arial" w:cs="Arial"/>
              </w:rPr>
              <w:t xml:space="preserve"> </w:t>
            </w:r>
            <w:r w:rsidR="005B1F20">
              <w:rPr>
                <w:rStyle w:val="A4"/>
                <w:rFonts w:ascii="Arial" w:hAnsi="Arial" w:cs="Arial"/>
              </w:rPr>
              <w:t>(</w:t>
            </w:r>
            <w:r w:rsidR="005B1F20" w:rsidRPr="00007438">
              <w:rPr>
                <w:rStyle w:val="A4"/>
                <w:rFonts w:ascii="Arial" w:hAnsi="Arial" w:cs="Arial"/>
              </w:rPr>
              <w:t xml:space="preserve">Fiona Stanley </w:t>
            </w:r>
            <w:r w:rsidR="005B1F20">
              <w:rPr>
                <w:rStyle w:val="A4"/>
                <w:rFonts w:ascii="Arial" w:hAnsi="Arial" w:cs="Arial"/>
              </w:rPr>
              <w:t xml:space="preserve">Fremantle </w:t>
            </w:r>
            <w:r w:rsidR="005B1F20" w:rsidRPr="00007438">
              <w:rPr>
                <w:rStyle w:val="A4"/>
                <w:rFonts w:ascii="Arial" w:hAnsi="Arial" w:cs="Arial"/>
              </w:rPr>
              <w:t>Hospital</w:t>
            </w:r>
            <w:r w:rsidR="005B1F20">
              <w:rPr>
                <w:rStyle w:val="A4"/>
                <w:rFonts w:ascii="Arial" w:hAnsi="Arial" w:cs="Arial"/>
              </w:rPr>
              <w:t>s Group),</w:t>
            </w:r>
            <w:r w:rsidR="005B1F20" w:rsidRPr="00007438">
              <w:rPr>
                <w:rStyle w:val="A4"/>
                <w:rFonts w:ascii="Arial" w:hAnsi="Arial" w:cs="Arial"/>
              </w:rPr>
              <w:t xml:space="preserve"> Allied Health </w:t>
            </w:r>
            <w:r w:rsidR="005B1F20" w:rsidRPr="00007438">
              <w:rPr>
                <w:rFonts w:ascii="Arial" w:eastAsia="Arial Unicode MS" w:hAnsi="Arial" w:cs="Arial"/>
                <w:sz w:val="22"/>
                <w:szCs w:val="22"/>
              </w:rPr>
              <w:t>Building Research Capacity</w:t>
            </w:r>
            <w:r w:rsidR="005B1F20">
              <w:rPr>
                <w:rFonts w:ascii="Arial" w:eastAsia="Arial Unicode MS" w:hAnsi="Arial" w:cs="Arial"/>
                <w:sz w:val="22"/>
                <w:szCs w:val="22"/>
              </w:rPr>
              <w:t xml:space="preserve"> initiative (</w:t>
            </w:r>
            <w:r w:rsidR="005B1F20" w:rsidRPr="00007438">
              <w:rPr>
                <w:rFonts w:ascii="Arial" w:eastAsia="Arial Unicode MS" w:hAnsi="Arial" w:cs="Arial"/>
                <w:sz w:val="22"/>
                <w:szCs w:val="22"/>
              </w:rPr>
              <w:t>8 days of research time</w:t>
            </w:r>
            <w:r w:rsidR="005B1F20">
              <w:rPr>
                <w:rFonts w:ascii="Arial" w:eastAsia="Arial Unicode MS" w:hAnsi="Arial" w:cs="Arial"/>
                <w:sz w:val="22"/>
                <w:szCs w:val="22"/>
              </w:rPr>
              <w:t>)</w:t>
            </w:r>
            <w:r w:rsidR="009202CA">
              <w:rPr>
                <w:rFonts w:eastAsia="Arial Unicode MS" w:cs="Arial"/>
                <w:b/>
                <w:sz w:val="22"/>
                <w:szCs w:val="22"/>
              </w:rPr>
              <w:t>.</w:t>
            </w:r>
          </w:p>
          <w:p w14:paraId="47626687" w14:textId="77777777" w:rsidR="00C74109" w:rsidRPr="00007438" w:rsidRDefault="00C74109" w:rsidP="00C74109">
            <w:pPr>
              <w:pStyle w:val="Default"/>
              <w:rPr>
                <w:sz w:val="22"/>
                <w:szCs w:val="22"/>
              </w:rPr>
            </w:pPr>
          </w:p>
          <w:p w14:paraId="05B40EF6" w14:textId="684297D1" w:rsidR="00C74109" w:rsidRDefault="00C74109" w:rsidP="00F76119">
            <w:pPr>
              <w:pStyle w:val="Default"/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007438">
              <w:rPr>
                <w:rFonts w:eastAsiaTheme="minorHAnsi"/>
                <w:b/>
                <w:sz w:val="22"/>
                <w:szCs w:val="22"/>
              </w:rPr>
              <w:t>Declaration of interest:</w:t>
            </w:r>
            <w:r w:rsidRPr="00007438">
              <w:rPr>
                <w:rFonts w:eastAsiaTheme="minorHAnsi"/>
                <w:sz w:val="22"/>
                <w:szCs w:val="22"/>
              </w:rPr>
              <w:t xml:space="preserve"> Nil.</w:t>
            </w:r>
          </w:p>
          <w:p w14:paraId="5DC70989" w14:textId="77777777" w:rsidR="00F76119" w:rsidRPr="00F76119" w:rsidRDefault="00F76119" w:rsidP="00F76119">
            <w:pPr>
              <w:pStyle w:val="Default"/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14:paraId="7F8381F0" w14:textId="5E794483" w:rsidR="001564A4" w:rsidRPr="00007438" w:rsidRDefault="00C74109" w:rsidP="00C74109">
            <w:pPr>
              <w:pStyle w:val="Pa12"/>
              <w:rPr>
                <w:sz w:val="22"/>
                <w:szCs w:val="22"/>
              </w:rPr>
            </w:pPr>
            <w:r w:rsidRPr="00007438">
              <w:rPr>
                <w:rFonts w:eastAsiaTheme="minorHAnsi"/>
                <w:b/>
                <w:sz w:val="22"/>
                <w:szCs w:val="22"/>
              </w:rPr>
              <w:t>Nomination for awards:</w:t>
            </w:r>
            <w:r w:rsidRPr="00007438">
              <w:rPr>
                <w:rFonts w:eastAsiaTheme="minorHAnsi"/>
                <w:sz w:val="22"/>
                <w:szCs w:val="22"/>
              </w:rPr>
              <w:t xml:space="preserve"> Physiotherapy.</w:t>
            </w:r>
            <w:r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  <w:r w:rsidR="001564A4" w:rsidRPr="00007438">
              <w:rPr>
                <w:sz w:val="22"/>
                <w:szCs w:val="22"/>
              </w:rPr>
              <w:br/>
            </w:r>
          </w:p>
          <w:p w14:paraId="731CD908" w14:textId="77777777" w:rsidR="001564A4" w:rsidRPr="00007438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007438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007438" w:rsidRDefault="001564A4" w:rsidP="000A28E2">
            <w:pPr>
              <w:pStyle w:val="Pa12"/>
              <w:rPr>
                <w:rStyle w:val="A4"/>
                <w:bCs/>
              </w:rPr>
            </w:pP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  <w:r w:rsidRPr="00007438">
              <w:rPr>
                <w:rStyle w:val="A4"/>
                <w:bCs/>
              </w:rPr>
              <w:br/>
            </w:r>
          </w:p>
          <w:p w14:paraId="14DC37E4" w14:textId="77777777" w:rsidR="001564A4" w:rsidRPr="00007438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007438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  <w:r w:rsidRPr="00007438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5E42"/>
    <w:multiLevelType w:val="hybridMultilevel"/>
    <w:tmpl w:val="C78264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0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7438"/>
    <w:rsid w:val="000208F4"/>
    <w:rsid w:val="000273BA"/>
    <w:rsid w:val="000274D2"/>
    <w:rsid w:val="0003292F"/>
    <w:rsid w:val="00052F2D"/>
    <w:rsid w:val="00055A6B"/>
    <w:rsid w:val="00067578"/>
    <w:rsid w:val="00072FD0"/>
    <w:rsid w:val="000B279D"/>
    <w:rsid w:val="000C4FBE"/>
    <w:rsid w:val="000C73D3"/>
    <w:rsid w:val="00112223"/>
    <w:rsid w:val="00151332"/>
    <w:rsid w:val="001564A4"/>
    <w:rsid w:val="001D1C77"/>
    <w:rsid w:val="001F3F72"/>
    <w:rsid w:val="002A38BC"/>
    <w:rsid w:val="002A5EBA"/>
    <w:rsid w:val="002B0ABE"/>
    <w:rsid w:val="002C1032"/>
    <w:rsid w:val="00340591"/>
    <w:rsid w:val="00347C5A"/>
    <w:rsid w:val="0035776E"/>
    <w:rsid w:val="00360041"/>
    <w:rsid w:val="003805CE"/>
    <w:rsid w:val="003C4BC7"/>
    <w:rsid w:val="00430A8F"/>
    <w:rsid w:val="00471D71"/>
    <w:rsid w:val="004B399D"/>
    <w:rsid w:val="004D3324"/>
    <w:rsid w:val="005115F0"/>
    <w:rsid w:val="0051574E"/>
    <w:rsid w:val="00523418"/>
    <w:rsid w:val="00542112"/>
    <w:rsid w:val="00550A28"/>
    <w:rsid w:val="00590B86"/>
    <w:rsid w:val="00592824"/>
    <w:rsid w:val="005B1F20"/>
    <w:rsid w:val="005F0F52"/>
    <w:rsid w:val="005F3CBC"/>
    <w:rsid w:val="00616037"/>
    <w:rsid w:val="006D339B"/>
    <w:rsid w:val="00746A1D"/>
    <w:rsid w:val="0075256B"/>
    <w:rsid w:val="007834EB"/>
    <w:rsid w:val="007974DF"/>
    <w:rsid w:val="007A2D38"/>
    <w:rsid w:val="00803843"/>
    <w:rsid w:val="0083460E"/>
    <w:rsid w:val="008374FC"/>
    <w:rsid w:val="00840B84"/>
    <w:rsid w:val="008803FA"/>
    <w:rsid w:val="008906E1"/>
    <w:rsid w:val="008C1020"/>
    <w:rsid w:val="008E1983"/>
    <w:rsid w:val="008E1EA6"/>
    <w:rsid w:val="008F1215"/>
    <w:rsid w:val="00912466"/>
    <w:rsid w:val="00914913"/>
    <w:rsid w:val="009202CA"/>
    <w:rsid w:val="00952E9C"/>
    <w:rsid w:val="00964085"/>
    <w:rsid w:val="0097090D"/>
    <w:rsid w:val="009C3DCA"/>
    <w:rsid w:val="009E1E93"/>
    <w:rsid w:val="009E717B"/>
    <w:rsid w:val="00A073E4"/>
    <w:rsid w:val="00A20813"/>
    <w:rsid w:val="00A80346"/>
    <w:rsid w:val="00B12E32"/>
    <w:rsid w:val="00BF4BC1"/>
    <w:rsid w:val="00C74109"/>
    <w:rsid w:val="00CF1FD8"/>
    <w:rsid w:val="00D04113"/>
    <w:rsid w:val="00D16787"/>
    <w:rsid w:val="00D515ED"/>
    <w:rsid w:val="00D57BC3"/>
    <w:rsid w:val="00D70AB8"/>
    <w:rsid w:val="00DA0353"/>
    <w:rsid w:val="00E0700F"/>
    <w:rsid w:val="00E3781E"/>
    <w:rsid w:val="00E4798D"/>
    <w:rsid w:val="00E901DF"/>
    <w:rsid w:val="00E9573F"/>
    <w:rsid w:val="00EA015E"/>
    <w:rsid w:val="00EC199A"/>
    <w:rsid w:val="00F422AC"/>
    <w:rsid w:val="00F6696C"/>
    <w:rsid w:val="00F76119"/>
    <w:rsid w:val="00F76F91"/>
    <w:rsid w:val="00FA7BED"/>
    <w:rsid w:val="00FC3582"/>
    <w:rsid w:val="00FE3382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BF4BC1"/>
    <w:pPr>
      <w:ind w:left="720"/>
    </w:pPr>
    <w:rPr>
      <w:rFonts w:ascii="Calibri" w:eastAsiaTheme="minorHAnsi" w:hAnsi="Calibri" w:cs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2375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Vicary, Caitlin</cp:lastModifiedBy>
  <cp:revision>3</cp:revision>
  <dcterms:created xsi:type="dcterms:W3CDTF">2023-10-14T04:04:00Z</dcterms:created>
  <dcterms:modified xsi:type="dcterms:W3CDTF">2023-10-14T04:42:00Z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