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8A54EC" w:rsidRPr="008A54EC" w14:paraId="52BED7B7" w14:textId="77777777" w:rsidTr="002D1DFB">
        <w:trPr>
          <w:trHeight w:val="411"/>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10F644EC" w14:textId="64C7B25C" w:rsidR="008A54EC" w:rsidRPr="002D1DFB" w:rsidRDefault="008A54EC" w:rsidP="002D1DFB">
            <w:pPr>
              <w:pStyle w:val="NoSpacing"/>
              <w:spacing w:line="360" w:lineRule="auto"/>
              <w:ind w:left="57"/>
              <w:rPr>
                <w:rFonts w:ascii="Arial" w:hAnsi="Arial" w:cs="Arial"/>
                <w:b/>
                <w:bCs/>
                <w:sz w:val="22"/>
                <w:szCs w:val="22"/>
              </w:rPr>
            </w:pPr>
            <w:r w:rsidRPr="002D1DFB">
              <w:rPr>
                <w:rFonts w:ascii="Arial" w:hAnsi="Arial" w:cs="Arial"/>
                <w:b/>
                <w:bCs/>
                <w:sz w:val="22"/>
                <w:szCs w:val="22"/>
              </w:rPr>
              <w:t>Preventable respiratory hospital readmissions and the utilisation of reduction strategies</w:t>
            </w:r>
          </w:p>
        </w:tc>
      </w:tr>
      <w:tr w:rsidR="008A54EC" w:rsidRPr="008A54EC" w14:paraId="3C706D44" w14:textId="77777777" w:rsidTr="002D1DFB">
        <w:trPr>
          <w:trHeight w:val="45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7E667A58" w14:textId="77777777" w:rsidR="008A54EC" w:rsidRPr="008A54EC" w:rsidRDefault="008A54EC" w:rsidP="002D1DFB">
            <w:pPr>
              <w:ind w:left="57"/>
              <w:textAlignment w:val="baseline"/>
              <w:rPr>
                <w:rFonts w:ascii="Segoe UI" w:eastAsia="Times New Roman" w:hAnsi="Segoe UI" w:cs="Segoe UI"/>
                <w:kern w:val="0"/>
                <w:sz w:val="22"/>
                <w:szCs w:val="22"/>
                <w:lang w:eastAsia="en-GB"/>
                <w14:ligatures w14:val="none"/>
              </w:rPr>
            </w:pPr>
            <w:r w:rsidRPr="008A54EC">
              <w:rPr>
                <w:rFonts w:ascii="Arial" w:eastAsia="Times New Roman" w:hAnsi="Arial" w:cs="Arial"/>
                <w:kern w:val="0"/>
                <w:sz w:val="22"/>
                <w:szCs w:val="22"/>
                <w:lang w:val="en-US" w:eastAsia="en-GB"/>
                <w14:ligatures w14:val="none"/>
              </w:rPr>
              <w:t>Adam Sykes</w:t>
            </w:r>
            <w:r w:rsidRPr="008A54EC">
              <w:rPr>
                <w:rFonts w:ascii="Arial" w:eastAsia="Times New Roman" w:hAnsi="Arial" w:cs="Arial"/>
                <w:kern w:val="0"/>
                <w:sz w:val="22"/>
                <w:szCs w:val="22"/>
                <w:vertAlign w:val="superscript"/>
                <w:lang w:val="en-US" w:eastAsia="en-GB"/>
                <w14:ligatures w14:val="none"/>
              </w:rPr>
              <w:t>1</w:t>
            </w:r>
            <w:r w:rsidRPr="008A54EC">
              <w:rPr>
                <w:rFonts w:ascii="Arial" w:eastAsia="Times New Roman" w:hAnsi="Arial" w:cs="Arial"/>
                <w:kern w:val="0"/>
                <w:sz w:val="22"/>
                <w:szCs w:val="22"/>
                <w:lang w:val="en-US" w:eastAsia="en-GB"/>
                <w14:ligatures w14:val="none"/>
              </w:rPr>
              <w:t>, Thomas Knowlman</w:t>
            </w:r>
            <w:r w:rsidRPr="008A54EC">
              <w:rPr>
                <w:rFonts w:ascii="Arial" w:eastAsia="Times New Roman" w:hAnsi="Arial" w:cs="Arial"/>
                <w:kern w:val="0"/>
                <w:sz w:val="22"/>
                <w:szCs w:val="22"/>
                <w:vertAlign w:val="superscript"/>
                <w:lang w:val="en-US" w:eastAsia="en-GB"/>
                <w14:ligatures w14:val="none"/>
              </w:rPr>
              <w:t>1,2</w:t>
            </w:r>
            <w:r w:rsidRPr="008A54EC">
              <w:rPr>
                <w:rFonts w:ascii="Arial" w:eastAsia="Times New Roman" w:hAnsi="Arial" w:cs="Arial"/>
                <w:kern w:val="0"/>
                <w:sz w:val="22"/>
                <w:szCs w:val="22"/>
                <w:lang w:val="en-US" w:eastAsia="en-GB"/>
                <w14:ligatures w14:val="none"/>
              </w:rPr>
              <w:t>, Bronwyn Learmouth</w:t>
            </w:r>
            <w:r w:rsidRPr="008A54EC">
              <w:rPr>
                <w:rFonts w:ascii="Arial" w:eastAsia="Times New Roman" w:hAnsi="Arial" w:cs="Arial"/>
                <w:kern w:val="0"/>
                <w:sz w:val="22"/>
                <w:szCs w:val="22"/>
                <w:vertAlign w:val="superscript"/>
                <w:lang w:val="en-US" w:eastAsia="en-GB"/>
                <w14:ligatures w14:val="none"/>
              </w:rPr>
              <w:t>1</w:t>
            </w:r>
            <w:r w:rsidRPr="008A54EC">
              <w:rPr>
                <w:rFonts w:ascii="Arial" w:eastAsia="Times New Roman" w:hAnsi="Arial" w:cs="Arial"/>
                <w:kern w:val="0"/>
                <w:sz w:val="22"/>
                <w:szCs w:val="22"/>
                <w:lang w:val="en-US" w:eastAsia="en-GB"/>
                <w14:ligatures w14:val="none"/>
              </w:rPr>
              <w:t>, Ian A. Yang</w:t>
            </w:r>
            <w:r w:rsidRPr="008A54EC">
              <w:rPr>
                <w:rFonts w:ascii="Arial" w:eastAsia="Times New Roman" w:hAnsi="Arial" w:cs="Arial"/>
                <w:kern w:val="0"/>
                <w:sz w:val="22"/>
                <w:szCs w:val="22"/>
                <w:vertAlign w:val="superscript"/>
                <w:lang w:val="en-US" w:eastAsia="en-GB"/>
                <w14:ligatures w14:val="none"/>
              </w:rPr>
              <w:t>1,2</w:t>
            </w:r>
            <w:r w:rsidRPr="008A54EC">
              <w:rPr>
                <w:rFonts w:ascii="Arial" w:eastAsia="Times New Roman" w:hAnsi="Arial" w:cs="Arial"/>
                <w:kern w:val="0"/>
                <w:sz w:val="22"/>
                <w:szCs w:val="22"/>
                <w:lang w:val="en-US" w:eastAsia="en-GB"/>
                <w14:ligatures w14:val="none"/>
              </w:rPr>
              <w:t>, Philip Masel</w:t>
            </w:r>
            <w:r w:rsidRPr="008A54EC">
              <w:rPr>
                <w:rFonts w:ascii="Arial" w:eastAsia="Times New Roman" w:hAnsi="Arial" w:cs="Arial"/>
                <w:kern w:val="0"/>
                <w:sz w:val="22"/>
                <w:szCs w:val="22"/>
                <w:vertAlign w:val="superscript"/>
                <w:lang w:val="en-US" w:eastAsia="en-GB"/>
                <w14:ligatures w14:val="none"/>
              </w:rPr>
              <w:t>1,2</w:t>
            </w:r>
            <w:r w:rsidRPr="008A54EC">
              <w:rPr>
                <w:rFonts w:ascii="Arial" w:eastAsia="Times New Roman" w:hAnsi="Arial" w:cs="Arial"/>
                <w:kern w:val="0"/>
                <w:sz w:val="22"/>
                <w:szCs w:val="22"/>
                <w:lang w:eastAsia="en-GB"/>
                <w14:ligatures w14:val="none"/>
              </w:rPr>
              <w:t> </w:t>
            </w:r>
          </w:p>
        </w:tc>
      </w:tr>
      <w:tr w:rsidR="008A54EC" w:rsidRPr="008A54EC" w14:paraId="2C2ABDE4" w14:textId="77777777" w:rsidTr="002D1DFB">
        <w:trPr>
          <w:trHeight w:val="855"/>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469A27C6" w14:textId="35162494" w:rsidR="002D1DFB" w:rsidRPr="008A54EC" w:rsidRDefault="002D1DFB" w:rsidP="002D1DFB">
            <w:pPr>
              <w:spacing w:line="360" w:lineRule="auto"/>
              <w:ind w:left="57"/>
              <w:textAlignment w:val="baseline"/>
              <w:rPr>
                <w:rFonts w:ascii="Arial" w:eastAsia="Times New Roman" w:hAnsi="Arial" w:cs="Arial"/>
                <w:kern w:val="0"/>
                <w:sz w:val="22"/>
                <w:szCs w:val="22"/>
                <w:lang w:eastAsia="en-GB"/>
                <w14:ligatures w14:val="none"/>
              </w:rPr>
            </w:pPr>
            <w:r w:rsidRPr="002D1DFB">
              <w:rPr>
                <w:rFonts w:ascii="Arial" w:eastAsia="Times New Roman" w:hAnsi="Arial" w:cs="Arial"/>
                <w:i/>
                <w:iCs/>
                <w:kern w:val="0"/>
                <w:sz w:val="22"/>
                <w:szCs w:val="22"/>
                <w:vertAlign w:val="superscript"/>
                <w:lang w:val="en-US" w:eastAsia="en-GB"/>
                <w14:ligatures w14:val="none"/>
              </w:rPr>
              <w:t xml:space="preserve">1 </w:t>
            </w:r>
            <w:r w:rsidR="008A54EC" w:rsidRPr="008A54EC">
              <w:rPr>
                <w:rFonts w:ascii="Arial" w:eastAsia="Times New Roman" w:hAnsi="Arial" w:cs="Arial"/>
                <w:i/>
                <w:iCs/>
                <w:kern w:val="0"/>
                <w:sz w:val="22"/>
                <w:szCs w:val="22"/>
                <w:lang w:val="en-US" w:eastAsia="en-GB"/>
                <w14:ligatures w14:val="none"/>
              </w:rPr>
              <w:t>Department of Thoracic Medicine, The Prince Charles Hospital, Queensland, Australia</w:t>
            </w:r>
            <w:r w:rsidR="008A54EC" w:rsidRPr="008A54EC">
              <w:rPr>
                <w:rFonts w:ascii="Arial" w:eastAsia="Times New Roman" w:hAnsi="Arial" w:cs="Arial"/>
                <w:kern w:val="0"/>
                <w:sz w:val="22"/>
                <w:szCs w:val="22"/>
                <w:lang w:eastAsia="en-GB"/>
                <w14:ligatures w14:val="none"/>
              </w:rPr>
              <w:t> </w:t>
            </w:r>
          </w:p>
          <w:p w14:paraId="265BD5ED" w14:textId="7995DAF0" w:rsidR="008A54EC" w:rsidRPr="008A54EC" w:rsidRDefault="002D1DFB" w:rsidP="002D1DFB">
            <w:pPr>
              <w:spacing w:line="360" w:lineRule="auto"/>
              <w:ind w:left="57"/>
              <w:textAlignment w:val="baseline"/>
              <w:rPr>
                <w:rFonts w:ascii="Segoe UI" w:eastAsia="Times New Roman" w:hAnsi="Segoe UI" w:cs="Segoe UI"/>
                <w:kern w:val="0"/>
                <w:sz w:val="22"/>
                <w:szCs w:val="22"/>
                <w:lang w:eastAsia="en-GB"/>
                <w14:ligatures w14:val="none"/>
              </w:rPr>
            </w:pPr>
            <w:r w:rsidRPr="002D1DFB">
              <w:rPr>
                <w:rFonts w:ascii="Arial" w:eastAsia="Times New Roman" w:hAnsi="Arial" w:cs="Arial"/>
                <w:i/>
                <w:iCs/>
                <w:kern w:val="0"/>
                <w:sz w:val="22"/>
                <w:szCs w:val="22"/>
                <w:vertAlign w:val="superscript"/>
                <w:lang w:val="en-US" w:eastAsia="en-GB"/>
                <w14:ligatures w14:val="none"/>
              </w:rPr>
              <w:t xml:space="preserve">2 </w:t>
            </w:r>
            <w:r w:rsidR="008A54EC" w:rsidRPr="008A54EC">
              <w:rPr>
                <w:rFonts w:ascii="Arial" w:eastAsia="Times New Roman" w:hAnsi="Arial" w:cs="Arial"/>
                <w:i/>
                <w:iCs/>
                <w:kern w:val="0"/>
                <w:sz w:val="22"/>
                <w:szCs w:val="22"/>
                <w:lang w:val="en-US" w:eastAsia="en-GB"/>
                <w14:ligatures w14:val="none"/>
              </w:rPr>
              <w:t>Faculty of Medicine, The University of Queensland</w:t>
            </w:r>
            <w:r w:rsidR="008F4597">
              <w:rPr>
                <w:rFonts w:ascii="Arial" w:eastAsia="Times New Roman" w:hAnsi="Arial" w:cs="Arial"/>
                <w:i/>
                <w:iCs/>
                <w:kern w:val="0"/>
                <w:sz w:val="22"/>
                <w:szCs w:val="22"/>
                <w:lang w:val="en-US" w:eastAsia="en-GB"/>
                <w14:ligatures w14:val="none"/>
              </w:rPr>
              <w:t>,</w:t>
            </w:r>
            <w:r w:rsidR="008F4597" w:rsidRPr="008A54EC">
              <w:rPr>
                <w:rFonts w:ascii="Arial" w:eastAsia="Times New Roman" w:hAnsi="Arial" w:cs="Arial"/>
                <w:i/>
                <w:iCs/>
                <w:kern w:val="0"/>
                <w:sz w:val="22"/>
                <w:szCs w:val="22"/>
                <w:lang w:val="en-US" w:eastAsia="en-GB"/>
                <w14:ligatures w14:val="none"/>
              </w:rPr>
              <w:t xml:space="preserve"> Queensland, Australia</w:t>
            </w:r>
            <w:r w:rsidR="008F4597" w:rsidRPr="008A54EC">
              <w:rPr>
                <w:rFonts w:ascii="Arial" w:eastAsia="Times New Roman" w:hAnsi="Arial" w:cs="Arial"/>
                <w:kern w:val="0"/>
                <w:sz w:val="22"/>
                <w:szCs w:val="22"/>
                <w:lang w:eastAsia="en-GB"/>
                <w14:ligatures w14:val="none"/>
              </w:rPr>
              <w:t> </w:t>
            </w:r>
          </w:p>
        </w:tc>
      </w:tr>
      <w:tr w:rsidR="008A54EC" w:rsidRPr="008A54EC" w14:paraId="43CD4D92" w14:textId="77777777" w:rsidTr="002D1DFB">
        <w:trPr>
          <w:trHeight w:val="1062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7EC390AB" w14:textId="77777777" w:rsidR="008A54EC" w:rsidRPr="008A54EC" w:rsidRDefault="008A54EC" w:rsidP="002D1DFB">
            <w:pPr>
              <w:spacing w:before="120"/>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b/>
                <w:bCs/>
                <w:color w:val="000000"/>
                <w:kern w:val="0"/>
                <w:sz w:val="22"/>
                <w:szCs w:val="22"/>
                <w:lang w:val="en-NZ" w:eastAsia="en-GB"/>
                <w14:ligatures w14:val="none"/>
              </w:rPr>
              <w:t>Introduction/Aim: </w:t>
            </w:r>
            <w:r w:rsidRPr="008A54EC">
              <w:rPr>
                <w:rFonts w:ascii="Arial" w:eastAsia="Times New Roman" w:hAnsi="Arial" w:cs="Arial"/>
                <w:color w:val="000000"/>
                <w:kern w:val="0"/>
                <w:sz w:val="22"/>
                <w:szCs w:val="22"/>
                <w:lang w:eastAsia="en-GB"/>
                <w14:ligatures w14:val="none"/>
              </w:rPr>
              <w:t> </w:t>
            </w:r>
          </w:p>
          <w:p w14:paraId="2F91DCD8"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kern w:val="0"/>
                <w:sz w:val="22"/>
                <w:szCs w:val="22"/>
                <w:lang w:val="en-NZ" w:eastAsia="en-GB"/>
                <w14:ligatures w14:val="none"/>
              </w:rPr>
              <w:t xml:space="preserve">Hospital readmissions signal potential inefficiencies in healthcare. Since </w:t>
            </w:r>
            <w:r w:rsidRPr="008A54EC">
              <w:rPr>
                <w:rFonts w:ascii="Arial" w:eastAsia="Times New Roman" w:hAnsi="Arial" w:cs="Arial"/>
                <w:kern w:val="0"/>
                <w:sz w:val="22"/>
                <w:szCs w:val="22"/>
                <w:lang w:val="en-GB" w:eastAsia="en-GB"/>
                <w14:ligatures w14:val="none"/>
              </w:rPr>
              <w:t xml:space="preserve">July 2021, the Independent Hospital Pricing Authority (IHPA) introduced risk-adjusted penalties for readmissions deemed preventable by the Australian Commission of Safety and Quality in Healthcare (ACSQH). </w:t>
            </w:r>
            <w:r w:rsidRPr="008A54EC">
              <w:rPr>
                <w:rFonts w:ascii="Arial" w:eastAsia="Times New Roman" w:hAnsi="Arial" w:cs="Arial"/>
                <w:kern w:val="0"/>
                <w:sz w:val="22"/>
                <w:szCs w:val="22"/>
                <w:lang w:val="en-NZ" w:eastAsia="en-GB"/>
                <w14:ligatures w14:val="none"/>
              </w:rPr>
              <w:t>Notably, IHPA penalties only apply to the ‘primary’ coded diagnosis, meaning arbitrary determinations (e.g., ‘Type 2 Respiratory Failure (T2RF) from Chronic Obstructive Pulmonary Disease (COPD)’ versus ‘COPD causing T2RF’) can have significant funding implications. This audit aimed to (a) ascertain factors leading to readmissions in a respiratory department and (b) evaluate the implications of discrepancies in the primary coded diagnosis on readmission penalties. </w:t>
            </w:r>
            <w:r w:rsidRPr="008A54EC">
              <w:rPr>
                <w:rFonts w:ascii="Arial" w:eastAsia="Times New Roman" w:hAnsi="Arial" w:cs="Arial"/>
                <w:kern w:val="0"/>
                <w:sz w:val="22"/>
                <w:szCs w:val="22"/>
                <w:lang w:eastAsia="en-GB"/>
                <w14:ligatures w14:val="none"/>
              </w:rPr>
              <w:t> </w:t>
            </w:r>
          </w:p>
          <w:p w14:paraId="09D21387"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kern w:val="0"/>
                <w:sz w:val="22"/>
                <w:szCs w:val="22"/>
                <w:lang w:eastAsia="en-GB"/>
                <w14:ligatures w14:val="none"/>
              </w:rPr>
              <w:t> </w:t>
            </w:r>
          </w:p>
          <w:p w14:paraId="5B43D957"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b/>
                <w:bCs/>
                <w:color w:val="000000"/>
                <w:kern w:val="0"/>
                <w:sz w:val="22"/>
                <w:szCs w:val="22"/>
                <w:lang w:val="en-NZ" w:eastAsia="en-GB"/>
                <w14:ligatures w14:val="none"/>
              </w:rPr>
              <w:t>Methods: </w:t>
            </w:r>
            <w:r w:rsidRPr="008A54EC">
              <w:rPr>
                <w:rFonts w:ascii="Arial" w:eastAsia="Times New Roman" w:hAnsi="Arial" w:cs="Arial"/>
                <w:color w:val="000000"/>
                <w:kern w:val="0"/>
                <w:sz w:val="22"/>
                <w:szCs w:val="22"/>
                <w:lang w:eastAsia="en-GB"/>
                <w14:ligatures w14:val="none"/>
              </w:rPr>
              <w:t> </w:t>
            </w:r>
          </w:p>
          <w:p w14:paraId="54F5BA64"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kern w:val="0"/>
                <w:sz w:val="22"/>
                <w:szCs w:val="22"/>
                <w:lang w:val="en-NZ" w:eastAsia="en-GB"/>
                <w14:ligatures w14:val="none"/>
              </w:rPr>
              <w:t>The audit targeted the 3 most common respiratory readmission diagnoses – pneumonia, respiratory failure, and venous thromboembolism. Records for patients readmitted to The Prince Charles Hospital (TPCH) from July 2021 to January 2022 were audited to ascertain those who received readmission reduction interventions during the index admission (see Table 1). Readmission diagnoses were adjudicated to determine whether a diagnosis not on the ACSQH list of preventable admissions could be considered an equally valid primary diagnosis, thus avoiding penalty.</w:t>
            </w:r>
            <w:r w:rsidRPr="008A54EC">
              <w:rPr>
                <w:rFonts w:ascii="Arial" w:eastAsia="Times New Roman" w:hAnsi="Arial" w:cs="Arial"/>
                <w:kern w:val="0"/>
                <w:sz w:val="22"/>
                <w:szCs w:val="22"/>
                <w:lang w:eastAsia="en-GB"/>
                <w14:ligatures w14:val="none"/>
              </w:rPr>
              <w:t> </w:t>
            </w:r>
          </w:p>
          <w:p w14:paraId="71FC7BB9"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color w:val="000000"/>
                <w:kern w:val="0"/>
                <w:sz w:val="22"/>
                <w:szCs w:val="22"/>
                <w:lang w:eastAsia="en-GB"/>
                <w14:ligatures w14:val="none"/>
              </w:rPr>
              <w:t> </w:t>
            </w:r>
          </w:p>
          <w:p w14:paraId="7E234989"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b/>
                <w:bCs/>
                <w:color w:val="000000"/>
                <w:kern w:val="0"/>
                <w:sz w:val="22"/>
                <w:szCs w:val="22"/>
                <w:lang w:val="en-NZ" w:eastAsia="en-GB"/>
                <w14:ligatures w14:val="none"/>
              </w:rPr>
              <w:t>Results: </w:t>
            </w:r>
            <w:r w:rsidRPr="008A54EC">
              <w:rPr>
                <w:rFonts w:ascii="Arial" w:eastAsia="Times New Roman" w:hAnsi="Arial" w:cs="Arial"/>
                <w:color w:val="000000"/>
                <w:kern w:val="0"/>
                <w:sz w:val="22"/>
                <w:szCs w:val="22"/>
                <w:lang w:eastAsia="en-GB"/>
                <w14:ligatures w14:val="none"/>
              </w:rPr>
              <w:t> </w:t>
            </w:r>
          </w:p>
          <w:p w14:paraId="2AC90B2D" w14:textId="77777777"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kern w:val="0"/>
                <w:sz w:val="22"/>
                <w:szCs w:val="22"/>
                <w:lang w:val="en-NZ" w:eastAsia="en-GB"/>
                <w14:ligatures w14:val="none"/>
              </w:rPr>
              <w:t>43 patients with the 3 diagnoses of interest were readmitted following an index admission at TPCH during the study period. Nine were readmitted to other hospitals and were not included. Of the remaining 34 patients, an alternative primary diagnosis, that would not have incurred a penalty, was assessed as equally valid in 14 cases (41%). During their index admission, most patients had a pharmacist and consultant review but did not have other readmission reduction strategies (Table 1). </w:t>
            </w:r>
            <w:r w:rsidRPr="008A54EC">
              <w:rPr>
                <w:rFonts w:ascii="Arial" w:eastAsia="Times New Roman" w:hAnsi="Arial" w:cs="Arial"/>
                <w:kern w:val="0"/>
                <w:sz w:val="22"/>
                <w:szCs w:val="22"/>
                <w:lang w:eastAsia="en-GB"/>
                <w14:ligatures w14:val="none"/>
              </w:rPr>
              <w:t> </w:t>
            </w:r>
          </w:p>
          <w:p w14:paraId="7DBE814E" w14:textId="77777777" w:rsidR="008A54EC" w:rsidRPr="008A54EC" w:rsidRDefault="008A54EC" w:rsidP="002D1DFB">
            <w:pPr>
              <w:ind w:left="57" w:right="57"/>
              <w:textAlignment w:val="baseline"/>
              <w:rPr>
                <w:rFonts w:ascii="Segoe UI" w:eastAsia="Times New Roman" w:hAnsi="Segoe UI" w:cs="Segoe UI"/>
                <w:color w:val="000000"/>
                <w:kern w:val="0"/>
                <w:sz w:val="18"/>
                <w:szCs w:val="18"/>
                <w:lang w:eastAsia="en-GB"/>
                <w14:ligatures w14:val="none"/>
              </w:rPr>
            </w:pPr>
            <w:r w:rsidRPr="008A54EC">
              <w:rPr>
                <w:rFonts w:ascii="Arial" w:eastAsia="Times New Roman" w:hAnsi="Arial" w:cs="Arial"/>
                <w:color w:val="000000"/>
                <w:kern w:val="0"/>
                <w:lang w:eastAsia="en-GB"/>
                <w14:ligatures w14:val="none"/>
              </w:rPr>
              <w:t> </w:t>
            </w:r>
          </w:p>
          <w:p w14:paraId="107383E0" w14:textId="022A159A" w:rsidR="008A54EC" w:rsidRPr="008A54EC" w:rsidRDefault="008A54EC" w:rsidP="002D1DFB">
            <w:pPr>
              <w:ind w:left="57" w:right="57"/>
              <w:jc w:val="center"/>
              <w:textAlignment w:val="baseline"/>
              <w:rPr>
                <w:rFonts w:ascii="Segoe UI" w:eastAsia="Times New Roman" w:hAnsi="Segoe UI" w:cs="Segoe UI"/>
                <w:color w:val="000000"/>
                <w:kern w:val="0"/>
                <w:sz w:val="18"/>
                <w:szCs w:val="18"/>
                <w:lang w:eastAsia="en-GB"/>
                <w14:ligatures w14:val="none"/>
              </w:rPr>
            </w:pPr>
            <w:r w:rsidRPr="008A54EC">
              <w:rPr>
                <w:rFonts w:ascii="Segoe UI" w:eastAsia="Times New Roman" w:hAnsi="Segoe UI" w:cs="Segoe UI"/>
                <w:noProof/>
                <w:color w:val="000000"/>
                <w:kern w:val="0"/>
                <w:sz w:val="18"/>
                <w:szCs w:val="18"/>
                <w:lang w:eastAsia="en-GB"/>
                <w14:ligatures w14:val="none"/>
              </w:rPr>
              <w:drawing>
                <wp:inline distT="0" distB="0" distL="0" distR="0" wp14:anchorId="58BACA78" wp14:editId="3683FB40">
                  <wp:extent cx="4737100" cy="2279951"/>
                  <wp:effectExtent l="0" t="0" r="0" b="6350"/>
                  <wp:docPr id="14867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2041" cy="2287142"/>
                          </a:xfrm>
                          <a:prstGeom prst="rect">
                            <a:avLst/>
                          </a:prstGeom>
                          <a:noFill/>
                          <a:ln>
                            <a:noFill/>
                          </a:ln>
                        </pic:spPr>
                      </pic:pic>
                    </a:graphicData>
                  </a:graphic>
                </wp:inline>
              </w:drawing>
            </w:r>
            <w:r w:rsidRPr="008A54EC">
              <w:rPr>
                <w:rFonts w:ascii="Arial" w:eastAsia="Times New Roman" w:hAnsi="Arial" w:cs="Arial"/>
                <w:color w:val="000000"/>
                <w:kern w:val="0"/>
                <w:lang w:eastAsia="en-GB"/>
                <w14:ligatures w14:val="none"/>
              </w:rPr>
              <w:t> </w:t>
            </w:r>
          </w:p>
          <w:p w14:paraId="01DA8307" w14:textId="77777777" w:rsidR="008A54EC" w:rsidRDefault="008A54EC" w:rsidP="008F4597">
            <w:pPr>
              <w:ind w:right="57"/>
              <w:textAlignment w:val="baseline"/>
              <w:rPr>
                <w:rFonts w:ascii="Arial" w:eastAsia="Times New Roman" w:hAnsi="Arial" w:cs="Arial"/>
                <w:kern w:val="0"/>
                <w:lang w:eastAsia="en-GB"/>
                <w14:ligatures w14:val="none"/>
              </w:rPr>
            </w:pPr>
            <w:r w:rsidRPr="008A54EC">
              <w:rPr>
                <w:rFonts w:ascii="Arial" w:eastAsia="Times New Roman" w:hAnsi="Arial" w:cs="Arial"/>
                <w:kern w:val="0"/>
                <w:lang w:eastAsia="en-GB"/>
                <w14:ligatures w14:val="none"/>
              </w:rPr>
              <w:t> </w:t>
            </w:r>
          </w:p>
          <w:p w14:paraId="4A8DF412" w14:textId="66C3D54B" w:rsidR="008A54EC" w:rsidRPr="008A54EC" w:rsidRDefault="008A54EC" w:rsidP="002D1DFB">
            <w:pPr>
              <w:ind w:left="57" w:right="57"/>
              <w:textAlignment w:val="baseline"/>
              <w:rPr>
                <w:rFonts w:ascii="Segoe UI" w:eastAsia="Times New Roman" w:hAnsi="Segoe UI" w:cs="Segoe UI"/>
                <w:kern w:val="0"/>
                <w:sz w:val="18"/>
                <w:szCs w:val="18"/>
                <w:lang w:eastAsia="en-GB"/>
                <w14:ligatures w14:val="none"/>
              </w:rPr>
            </w:pPr>
            <w:r w:rsidRPr="008A54EC">
              <w:rPr>
                <w:rFonts w:ascii="Arial" w:eastAsia="Times New Roman" w:hAnsi="Arial" w:cs="Arial"/>
                <w:b/>
                <w:bCs/>
                <w:color w:val="000000"/>
                <w:kern w:val="0"/>
                <w:sz w:val="22"/>
                <w:szCs w:val="22"/>
                <w:lang w:val="en-NZ" w:eastAsia="en-GB"/>
                <w14:ligatures w14:val="none"/>
              </w:rPr>
              <w:t>Conclusion: </w:t>
            </w:r>
            <w:r w:rsidRPr="008A54EC">
              <w:rPr>
                <w:rFonts w:ascii="Arial" w:eastAsia="Times New Roman" w:hAnsi="Arial" w:cs="Arial"/>
                <w:color w:val="000000"/>
                <w:kern w:val="0"/>
                <w:sz w:val="22"/>
                <w:szCs w:val="22"/>
                <w:lang w:eastAsia="en-GB"/>
                <w14:ligatures w14:val="none"/>
              </w:rPr>
              <w:t> </w:t>
            </w:r>
          </w:p>
          <w:p w14:paraId="6D331659" w14:textId="3AE2864C" w:rsidR="002D1DFB" w:rsidRDefault="008A54EC" w:rsidP="00E03DB6">
            <w:pPr>
              <w:ind w:left="57" w:right="57"/>
              <w:textAlignment w:val="baseline"/>
              <w:rPr>
                <w:rFonts w:ascii="Arial" w:eastAsia="Times New Roman" w:hAnsi="Arial" w:cs="Arial"/>
                <w:color w:val="D13438"/>
                <w:kern w:val="0"/>
                <w:sz w:val="22"/>
                <w:szCs w:val="22"/>
                <w:lang w:eastAsia="en-GB"/>
                <w14:ligatures w14:val="none"/>
              </w:rPr>
            </w:pPr>
            <w:r w:rsidRPr="008A54EC">
              <w:rPr>
                <w:rFonts w:ascii="Arial" w:eastAsia="Times New Roman" w:hAnsi="Arial" w:cs="Arial"/>
                <w:kern w:val="0"/>
                <w:sz w:val="22"/>
                <w:szCs w:val="22"/>
                <w:lang w:val="en-NZ" w:eastAsia="en-GB"/>
                <w14:ligatures w14:val="none"/>
              </w:rPr>
              <w:t>Many penalised readmissions showed discrepancies in the primary readmission diagnosis and may have been incorrectly coded as preventable</w:t>
            </w:r>
            <w:r w:rsidR="008F4597">
              <w:rPr>
                <w:rFonts w:ascii="Arial" w:eastAsia="Times New Roman" w:hAnsi="Arial" w:cs="Arial"/>
                <w:kern w:val="0"/>
                <w:sz w:val="22"/>
                <w:szCs w:val="22"/>
                <w:lang w:val="en-NZ" w:eastAsia="en-GB"/>
                <w14:ligatures w14:val="none"/>
              </w:rPr>
              <w:t xml:space="preserve">, </w:t>
            </w:r>
            <w:r w:rsidRPr="008A54EC">
              <w:rPr>
                <w:rFonts w:ascii="Arial" w:eastAsia="Times New Roman" w:hAnsi="Arial" w:cs="Arial"/>
                <w:kern w:val="0"/>
                <w:sz w:val="22"/>
                <w:szCs w:val="22"/>
                <w:lang w:val="en-NZ" w:eastAsia="en-GB"/>
                <w14:ligatures w14:val="none"/>
              </w:rPr>
              <w:t>highlighting the importance of clinical documentation and awareness of potential penalties. Furthermore, greater availability of proven interventions including allied health and post-discharge clinics may reduce readmission rates.</w:t>
            </w:r>
            <w:r w:rsidRPr="008A54EC">
              <w:rPr>
                <w:rFonts w:ascii="Arial" w:eastAsia="Times New Roman" w:hAnsi="Arial" w:cs="Arial"/>
                <w:color w:val="D13438"/>
                <w:kern w:val="0"/>
                <w:sz w:val="22"/>
                <w:szCs w:val="22"/>
                <w:lang w:eastAsia="en-GB"/>
                <w14:ligatures w14:val="none"/>
              </w:rPr>
              <w:t> </w:t>
            </w:r>
          </w:p>
          <w:p w14:paraId="22697C2B" w14:textId="4CC73298" w:rsidR="008A54EC" w:rsidRPr="008A54EC" w:rsidRDefault="008A54EC" w:rsidP="008A54EC">
            <w:pPr>
              <w:textAlignment w:val="baseline"/>
              <w:rPr>
                <w:rFonts w:ascii="Segoe UI" w:eastAsia="Times New Roman" w:hAnsi="Segoe UI" w:cs="Segoe UI"/>
                <w:kern w:val="0"/>
                <w:sz w:val="18"/>
                <w:szCs w:val="18"/>
                <w:lang w:eastAsia="en-GB"/>
                <w14:ligatures w14:val="none"/>
              </w:rPr>
            </w:pPr>
          </w:p>
        </w:tc>
      </w:tr>
    </w:tbl>
    <w:p w14:paraId="6941B30D" w14:textId="77777777" w:rsidR="00DB1324" w:rsidRDefault="00DB1324"/>
    <w:sectPr w:rsidR="00DB1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EC"/>
    <w:rsid w:val="001A1197"/>
    <w:rsid w:val="001F7E16"/>
    <w:rsid w:val="00261DEC"/>
    <w:rsid w:val="002D1DFB"/>
    <w:rsid w:val="00323471"/>
    <w:rsid w:val="0042537D"/>
    <w:rsid w:val="00440AB8"/>
    <w:rsid w:val="00556C5F"/>
    <w:rsid w:val="00585541"/>
    <w:rsid w:val="00633C77"/>
    <w:rsid w:val="00801BCE"/>
    <w:rsid w:val="008A54EC"/>
    <w:rsid w:val="008F4597"/>
    <w:rsid w:val="00990F17"/>
    <w:rsid w:val="00BB0299"/>
    <w:rsid w:val="00DB1324"/>
    <w:rsid w:val="00DB6EF3"/>
    <w:rsid w:val="00E03DB6"/>
    <w:rsid w:val="00F10DFC"/>
    <w:rsid w:val="00F93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6D70D8"/>
  <w15:chartTrackingRefBased/>
  <w15:docId w15:val="{40BC18EB-5E26-DF47-BF22-251FB1E8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4E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8A54E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A54EC"/>
  </w:style>
  <w:style w:type="character" w:customStyle="1" w:styleId="eop">
    <w:name w:val="eop"/>
    <w:basedOn w:val="DefaultParagraphFont"/>
    <w:rsid w:val="008A54EC"/>
  </w:style>
  <w:style w:type="character" w:customStyle="1" w:styleId="wacimagecontainer">
    <w:name w:val="wacimagecontainer"/>
    <w:basedOn w:val="DefaultParagraphFont"/>
    <w:rsid w:val="008A54EC"/>
  </w:style>
  <w:style w:type="paragraph" w:styleId="NoSpacing">
    <w:name w:val="No Spacing"/>
    <w:uiPriority w:val="1"/>
    <w:qFormat/>
    <w:rsid w:val="002D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8136">
      <w:bodyDiv w:val="1"/>
      <w:marLeft w:val="0"/>
      <w:marRight w:val="0"/>
      <w:marTop w:val="0"/>
      <w:marBottom w:val="0"/>
      <w:divBdr>
        <w:top w:val="none" w:sz="0" w:space="0" w:color="auto"/>
        <w:left w:val="none" w:sz="0" w:space="0" w:color="auto"/>
        <w:bottom w:val="none" w:sz="0" w:space="0" w:color="auto"/>
        <w:right w:val="none" w:sz="0" w:space="0" w:color="auto"/>
      </w:divBdr>
      <w:divsChild>
        <w:div w:id="879442607">
          <w:marLeft w:val="0"/>
          <w:marRight w:val="0"/>
          <w:marTop w:val="0"/>
          <w:marBottom w:val="0"/>
          <w:divBdr>
            <w:top w:val="none" w:sz="0" w:space="0" w:color="auto"/>
            <w:left w:val="none" w:sz="0" w:space="0" w:color="auto"/>
            <w:bottom w:val="none" w:sz="0" w:space="0" w:color="auto"/>
            <w:right w:val="none" w:sz="0" w:space="0" w:color="auto"/>
          </w:divBdr>
          <w:divsChild>
            <w:div w:id="1859196694">
              <w:marLeft w:val="0"/>
              <w:marRight w:val="0"/>
              <w:marTop w:val="0"/>
              <w:marBottom w:val="0"/>
              <w:divBdr>
                <w:top w:val="none" w:sz="0" w:space="0" w:color="auto"/>
                <w:left w:val="none" w:sz="0" w:space="0" w:color="auto"/>
                <w:bottom w:val="none" w:sz="0" w:space="0" w:color="auto"/>
                <w:right w:val="none" w:sz="0" w:space="0" w:color="auto"/>
              </w:divBdr>
            </w:div>
          </w:divsChild>
        </w:div>
        <w:div w:id="1743484712">
          <w:marLeft w:val="0"/>
          <w:marRight w:val="0"/>
          <w:marTop w:val="0"/>
          <w:marBottom w:val="0"/>
          <w:divBdr>
            <w:top w:val="none" w:sz="0" w:space="0" w:color="auto"/>
            <w:left w:val="none" w:sz="0" w:space="0" w:color="auto"/>
            <w:bottom w:val="none" w:sz="0" w:space="0" w:color="auto"/>
            <w:right w:val="none" w:sz="0" w:space="0" w:color="auto"/>
          </w:divBdr>
          <w:divsChild>
            <w:div w:id="1464738931">
              <w:marLeft w:val="0"/>
              <w:marRight w:val="0"/>
              <w:marTop w:val="0"/>
              <w:marBottom w:val="0"/>
              <w:divBdr>
                <w:top w:val="none" w:sz="0" w:space="0" w:color="auto"/>
                <w:left w:val="none" w:sz="0" w:space="0" w:color="auto"/>
                <w:bottom w:val="none" w:sz="0" w:space="0" w:color="auto"/>
                <w:right w:val="none" w:sz="0" w:space="0" w:color="auto"/>
              </w:divBdr>
            </w:div>
          </w:divsChild>
        </w:div>
        <w:div w:id="1839299045">
          <w:marLeft w:val="0"/>
          <w:marRight w:val="0"/>
          <w:marTop w:val="0"/>
          <w:marBottom w:val="0"/>
          <w:divBdr>
            <w:top w:val="none" w:sz="0" w:space="0" w:color="auto"/>
            <w:left w:val="none" w:sz="0" w:space="0" w:color="auto"/>
            <w:bottom w:val="none" w:sz="0" w:space="0" w:color="auto"/>
            <w:right w:val="none" w:sz="0" w:space="0" w:color="auto"/>
          </w:divBdr>
          <w:divsChild>
            <w:div w:id="1664771180">
              <w:marLeft w:val="0"/>
              <w:marRight w:val="0"/>
              <w:marTop w:val="0"/>
              <w:marBottom w:val="0"/>
              <w:divBdr>
                <w:top w:val="none" w:sz="0" w:space="0" w:color="auto"/>
                <w:left w:val="none" w:sz="0" w:space="0" w:color="auto"/>
                <w:bottom w:val="none" w:sz="0" w:space="0" w:color="auto"/>
                <w:right w:val="none" w:sz="0" w:space="0" w:color="auto"/>
              </w:divBdr>
            </w:div>
            <w:div w:id="899636724">
              <w:marLeft w:val="0"/>
              <w:marRight w:val="0"/>
              <w:marTop w:val="0"/>
              <w:marBottom w:val="0"/>
              <w:divBdr>
                <w:top w:val="none" w:sz="0" w:space="0" w:color="auto"/>
                <w:left w:val="none" w:sz="0" w:space="0" w:color="auto"/>
                <w:bottom w:val="none" w:sz="0" w:space="0" w:color="auto"/>
                <w:right w:val="none" w:sz="0" w:space="0" w:color="auto"/>
              </w:divBdr>
            </w:div>
          </w:divsChild>
        </w:div>
        <w:div w:id="1356073342">
          <w:marLeft w:val="0"/>
          <w:marRight w:val="0"/>
          <w:marTop w:val="0"/>
          <w:marBottom w:val="0"/>
          <w:divBdr>
            <w:top w:val="none" w:sz="0" w:space="0" w:color="auto"/>
            <w:left w:val="none" w:sz="0" w:space="0" w:color="auto"/>
            <w:bottom w:val="none" w:sz="0" w:space="0" w:color="auto"/>
            <w:right w:val="none" w:sz="0" w:space="0" w:color="auto"/>
          </w:divBdr>
          <w:divsChild>
            <w:div w:id="2054033608">
              <w:marLeft w:val="0"/>
              <w:marRight w:val="0"/>
              <w:marTop w:val="0"/>
              <w:marBottom w:val="0"/>
              <w:divBdr>
                <w:top w:val="none" w:sz="0" w:space="0" w:color="auto"/>
                <w:left w:val="none" w:sz="0" w:space="0" w:color="auto"/>
                <w:bottom w:val="none" w:sz="0" w:space="0" w:color="auto"/>
                <w:right w:val="none" w:sz="0" w:space="0" w:color="auto"/>
              </w:divBdr>
            </w:div>
            <w:div w:id="1258438249">
              <w:marLeft w:val="0"/>
              <w:marRight w:val="0"/>
              <w:marTop w:val="0"/>
              <w:marBottom w:val="0"/>
              <w:divBdr>
                <w:top w:val="none" w:sz="0" w:space="0" w:color="auto"/>
                <w:left w:val="none" w:sz="0" w:space="0" w:color="auto"/>
                <w:bottom w:val="none" w:sz="0" w:space="0" w:color="auto"/>
                <w:right w:val="none" w:sz="0" w:space="0" w:color="auto"/>
              </w:divBdr>
            </w:div>
            <w:div w:id="1414203170">
              <w:marLeft w:val="0"/>
              <w:marRight w:val="0"/>
              <w:marTop w:val="0"/>
              <w:marBottom w:val="0"/>
              <w:divBdr>
                <w:top w:val="none" w:sz="0" w:space="0" w:color="auto"/>
                <w:left w:val="none" w:sz="0" w:space="0" w:color="auto"/>
                <w:bottom w:val="none" w:sz="0" w:space="0" w:color="auto"/>
                <w:right w:val="none" w:sz="0" w:space="0" w:color="auto"/>
              </w:divBdr>
            </w:div>
            <w:div w:id="872499587">
              <w:marLeft w:val="0"/>
              <w:marRight w:val="0"/>
              <w:marTop w:val="0"/>
              <w:marBottom w:val="0"/>
              <w:divBdr>
                <w:top w:val="none" w:sz="0" w:space="0" w:color="auto"/>
                <w:left w:val="none" w:sz="0" w:space="0" w:color="auto"/>
                <w:bottom w:val="none" w:sz="0" w:space="0" w:color="auto"/>
                <w:right w:val="none" w:sz="0" w:space="0" w:color="auto"/>
              </w:divBdr>
            </w:div>
            <w:div w:id="997225247">
              <w:marLeft w:val="0"/>
              <w:marRight w:val="0"/>
              <w:marTop w:val="0"/>
              <w:marBottom w:val="0"/>
              <w:divBdr>
                <w:top w:val="none" w:sz="0" w:space="0" w:color="auto"/>
                <w:left w:val="none" w:sz="0" w:space="0" w:color="auto"/>
                <w:bottom w:val="none" w:sz="0" w:space="0" w:color="auto"/>
                <w:right w:val="none" w:sz="0" w:space="0" w:color="auto"/>
              </w:divBdr>
            </w:div>
            <w:div w:id="146170627">
              <w:marLeft w:val="0"/>
              <w:marRight w:val="0"/>
              <w:marTop w:val="0"/>
              <w:marBottom w:val="0"/>
              <w:divBdr>
                <w:top w:val="none" w:sz="0" w:space="0" w:color="auto"/>
                <w:left w:val="none" w:sz="0" w:space="0" w:color="auto"/>
                <w:bottom w:val="none" w:sz="0" w:space="0" w:color="auto"/>
                <w:right w:val="none" w:sz="0" w:space="0" w:color="auto"/>
              </w:divBdr>
            </w:div>
            <w:div w:id="275521746">
              <w:marLeft w:val="0"/>
              <w:marRight w:val="0"/>
              <w:marTop w:val="0"/>
              <w:marBottom w:val="0"/>
              <w:divBdr>
                <w:top w:val="none" w:sz="0" w:space="0" w:color="auto"/>
                <w:left w:val="none" w:sz="0" w:space="0" w:color="auto"/>
                <w:bottom w:val="none" w:sz="0" w:space="0" w:color="auto"/>
                <w:right w:val="none" w:sz="0" w:space="0" w:color="auto"/>
              </w:divBdr>
            </w:div>
            <w:div w:id="552040872">
              <w:marLeft w:val="0"/>
              <w:marRight w:val="0"/>
              <w:marTop w:val="0"/>
              <w:marBottom w:val="0"/>
              <w:divBdr>
                <w:top w:val="none" w:sz="0" w:space="0" w:color="auto"/>
                <w:left w:val="none" w:sz="0" w:space="0" w:color="auto"/>
                <w:bottom w:val="none" w:sz="0" w:space="0" w:color="auto"/>
                <w:right w:val="none" w:sz="0" w:space="0" w:color="auto"/>
              </w:divBdr>
            </w:div>
            <w:div w:id="1324048213">
              <w:marLeft w:val="0"/>
              <w:marRight w:val="0"/>
              <w:marTop w:val="0"/>
              <w:marBottom w:val="0"/>
              <w:divBdr>
                <w:top w:val="none" w:sz="0" w:space="0" w:color="auto"/>
                <w:left w:val="none" w:sz="0" w:space="0" w:color="auto"/>
                <w:bottom w:val="none" w:sz="0" w:space="0" w:color="auto"/>
                <w:right w:val="none" w:sz="0" w:space="0" w:color="auto"/>
              </w:divBdr>
            </w:div>
            <w:div w:id="1926263468">
              <w:marLeft w:val="0"/>
              <w:marRight w:val="0"/>
              <w:marTop w:val="0"/>
              <w:marBottom w:val="0"/>
              <w:divBdr>
                <w:top w:val="none" w:sz="0" w:space="0" w:color="auto"/>
                <w:left w:val="none" w:sz="0" w:space="0" w:color="auto"/>
                <w:bottom w:val="none" w:sz="0" w:space="0" w:color="auto"/>
                <w:right w:val="none" w:sz="0" w:space="0" w:color="auto"/>
              </w:divBdr>
            </w:div>
            <w:div w:id="1286816708">
              <w:marLeft w:val="0"/>
              <w:marRight w:val="0"/>
              <w:marTop w:val="0"/>
              <w:marBottom w:val="0"/>
              <w:divBdr>
                <w:top w:val="none" w:sz="0" w:space="0" w:color="auto"/>
                <w:left w:val="none" w:sz="0" w:space="0" w:color="auto"/>
                <w:bottom w:val="none" w:sz="0" w:space="0" w:color="auto"/>
                <w:right w:val="none" w:sz="0" w:space="0" w:color="auto"/>
              </w:divBdr>
            </w:div>
            <w:div w:id="1634141768">
              <w:marLeft w:val="0"/>
              <w:marRight w:val="0"/>
              <w:marTop w:val="0"/>
              <w:marBottom w:val="0"/>
              <w:divBdr>
                <w:top w:val="none" w:sz="0" w:space="0" w:color="auto"/>
                <w:left w:val="none" w:sz="0" w:space="0" w:color="auto"/>
                <w:bottom w:val="none" w:sz="0" w:space="0" w:color="auto"/>
                <w:right w:val="none" w:sz="0" w:space="0" w:color="auto"/>
              </w:divBdr>
            </w:div>
            <w:div w:id="2081754091">
              <w:marLeft w:val="0"/>
              <w:marRight w:val="0"/>
              <w:marTop w:val="0"/>
              <w:marBottom w:val="0"/>
              <w:divBdr>
                <w:top w:val="none" w:sz="0" w:space="0" w:color="auto"/>
                <w:left w:val="none" w:sz="0" w:space="0" w:color="auto"/>
                <w:bottom w:val="none" w:sz="0" w:space="0" w:color="auto"/>
                <w:right w:val="none" w:sz="0" w:space="0" w:color="auto"/>
              </w:divBdr>
            </w:div>
            <w:div w:id="905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Sykes</dc:creator>
  <cp:keywords/>
  <dc:description/>
  <cp:lastModifiedBy>Adam Sykes</cp:lastModifiedBy>
  <cp:revision>2</cp:revision>
  <dcterms:created xsi:type="dcterms:W3CDTF">2023-10-18T20:54:00Z</dcterms:created>
  <dcterms:modified xsi:type="dcterms:W3CDTF">2023-10-18T20:54:00Z</dcterms:modified>
</cp:coreProperties>
</file>