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9C95D" w14:textId="77777777" w:rsidR="009D4D3C" w:rsidRDefault="009D4D3C" w:rsidP="009D4D3C">
      <w:pPr>
        <w:rPr>
          <w:b/>
          <w:bCs/>
        </w:rPr>
      </w:pPr>
    </w:p>
    <w:tbl>
      <w:tblPr>
        <w:tblStyle w:val="TableGrid"/>
        <w:tblW w:w="8640" w:type="dxa"/>
        <w:tblInd w:w="108" w:type="dxa"/>
        <w:tblLayout w:type="fixed"/>
        <w:tblLook w:val="01E0" w:firstRow="1" w:lastRow="1" w:firstColumn="1" w:lastColumn="1" w:noHBand="0" w:noVBand="0"/>
      </w:tblPr>
      <w:tblGrid>
        <w:gridCol w:w="8640"/>
      </w:tblGrid>
      <w:tr w:rsidR="009D4D3C" w:rsidRPr="0003525D" w14:paraId="294D250A" w14:textId="77777777" w:rsidTr="00C27896">
        <w:tc>
          <w:tcPr>
            <w:tcW w:w="8640" w:type="dxa"/>
            <w:shd w:val="clear" w:color="auto" w:fill="F2F2F2" w:themeFill="background1" w:themeFillShade="F2"/>
          </w:tcPr>
          <w:p w14:paraId="3590198A" w14:textId="77777777" w:rsidR="00A23BC8" w:rsidRPr="00A23BC8" w:rsidRDefault="00A23BC8" w:rsidP="00C27896">
            <w:pPr>
              <w:jc w:val="both"/>
              <w:rPr>
                <w:rFonts w:ascii="Arial" w:hAnsi="Arial" w:cs="Arial"/>
                <w:bCs/>
                <w:i/>
                <w:iCs/>
                <w:sz w:val="22"/>
                <w:szCs w:val="22"/>
              </w:rPr>
            </w:pPr>
            <w:r w:rsidRPr="00A23BC8">
              <w:rPr>
                <w:rFonts w:ascii="Arial" w:hAnsi="Arial" w:cs="Arial"/>
                <w:bCs/>
                <w:i/>
                <w:iCs/>
                <w:sz w:val="22"/>
                <w:szCs w:val="22"/>
              </w:rPr>
              <w:t>Paper</w:t>
            </w:r>
          </w:p>
          <w:p w14:paraId="4CDFF49F" w14:textId="11FB5ED7" w:rsidR="009D4D3C" w:rsidRPr="00A23BC8" w:rsidRDefault="009D4D3C" w:rsidP="00C27896">
            <w:pPr>
              <w:jc w:val="both"/>
              <w:rPr>
                <w:rFonts w:ascii="Arial" w:hAnsi="Arial" w:cs="Arial"/>
                <w:b/>
                <w:sz w:val="22"/>
                <w:szCs w:val="22"/>
              </w:rPr>
            </w:pPr>
            <w:r w:rsidRPr="009A152E">
              <w:rPr>
                <w:rFonts w:ascii="Arial" w:hAnsi="Arial" w:cs="Arial"/>
                <w:b/>
                <w:sz w:val="22"/>
                <w:szCs w:val="22"/>
              </w:rPr>
              <w:t xml:space="preserve">Reductions in the future agricultural workday due to climate change </w:t>
            </w:r>
          </w:p>
          <w:p w14:paraId="46B85978" w14:textId="77777777" w:rsidR="009D4D3C" w:rsidRPr="009C75AE" w:rsidRDefault="009D4D3C" w:rsidP="00C27896">
            <w:pPr>
              <w:tabs>
                <w:tab w:val="left" w:pos="3386"/>
              </w:tabs>
              <w:jc w:val="both"/>
              <w:rPr>
                <w:rFonts w:ascii="Arial" w:hAnsi="Arial" w:cs="Arial"/>
                <w:b/>
                <w:bCs/>
                <w:sz w:val="22"/>
                <w:szCs w:val="22"/>
              </w:rPr>
            </w:pPr>
          </w:p>
        </w:tc>
      </w:tr>
      <w:tr w:rsidR="009D4D3C" w:rsidRPr="0003525D" w14:paraId="7A0CB86B" w14:textId="77777777" w:rsidTr="00C27896">
        <w:trPr>
          <w:trHeight w:val="3124"/>
        </w:trPr>
        <w:tc>
          <w:tcPr>
            <w:tcW w:w="8640" w:type="dxa"/>
          </w:tcPr>
          <w:p w14:paraId="0BC208E7" w14:textId="78C6220F" w:rsidR="009D4D3C" w:rsidRDefault="009D4D3C" w:rsidP="00C27896">
            <w:pPr>
              <w:jc w:val="both"/>
              <w:rPr>
                <w:rFonts w:ascii="Arial" w:hAnsi="Arial" w:cs="Arial"/>
                <w:bCs/>
                <w:sz w:val="22"/>
                <w:szCs w:val="22"/>
              </w:rPr>
            </w:pPr>
          </w:p>
          <w:p w14:paraId="4EDF19A1" w14:textId="77777777" w:rsidR="00FB21F0" w:rsidRPr="00FB21F0" w:rsidRDefault="00FB21F0" w:rsidP="00FB21F0">
            <w:pPr>
              <w:pStyle w:val="NormalWeb"/>
              <w:rPr>
                <w:rFonts w:ascii="Arial" w:hAnsi="Arial" w:cs="Arial"/>
                <w:bCs/>
                <w:sz w:val="22"/>
                <w:szCs w:val="22"/>
              </w:rPr>
            </w:pPr>
            <w:r w:rsidRPr="00FB21F0">
              <w:rPr>
                <w:rFonts w:ascii="Arial" w:hAnsi="Arial" w:cs="Arial"/>
                <w:bCs/>
                <w:sz w:val="22"/>
                <w:szCs w:val="22"/>
              </w:rPr>
              <w:t xml:space="preserve">Agricultural workers are critical </w:t>
            </w:r>
            <w:proofErr w:type="gramStart"/>
            <w:r w:rsidRPr="00FB21F0">
              <w:rPr>
                <w:rFonts w:ascii="Arial" w:hAnsi="Arial" w:cs="Arial"/>
                <w:bCs/>
                <w:sz w:val="22"/>
                <w:szCs w:val="22"/>
              </w:rPr>
              <w:t>to</w:t>
            </w:r>
            <w:proofErr w:type="gramEnd"/>
            <w:r w:rsidRPr="00FB21F0">
              <w:rPr>
                <w:rFonts w:ascii="Arial" w:hAnsi="Arial" w:cs="Arial"/>
                <w:bCs/>
                <w:sz w:val="22"/>
                <w:szCs w:val="22"/>
              </w:rPr>
              <w:t xml:space="preserve"> global food security, yet their vulnerability to </w:t>
            </w:r>
            <w:proofErr w:type="gramStart"/>
            <w:r w:rsidRPr="00FB21F0">
              <w:rPr>
                <w:rFonts w:ascii="Arial" w:hAnsi="Arial" w:cs="Arial"/>
                <w:bCs/>
                <w:sz w:val="22"/>
                <w:szCs w:val="22"/>
              </w:rPr>
              <w:t>climate change</w:t>
            </w:r>
            <w:proofErr w:type="gramEnd"/>
            <w:r w:rsidRPr="00FB21F0">
              <w:rPr>
                <w:rFonts w:ascii="Arial" w:hAnsi="Arial" w:cs="Arial"/>
                <w:bCs/>
                <w:sz w:val="22"/>
                <w:szCs w:val="22"/>
              </w:rPr>
              <w:t>-induced heat stress remains insufficiently understood. Here, we integrate high-resolution hourly projections of heat stress with new, gridded maps of the global agricultural workforce to quantify future reductions in safe working hours. We leverage downscaled daily CMIP6 climate model outputs (Williams et al., 2024) and workforce maps at ~10 km resolution (Ormaza-Zulueta et al., 2024) to calculate hourly wet bulb globe temperature (WBGT) metrics for historical (circa 2000) and future periods (2030, 2050) under SSP2</w:t>
            </w:r>
            <w:r w:rsidRPr="00FB21F0">
              <w:rPr>
                <w:rFonts w:ascii="Arial" w:hAnsi="Arial" w:cs="Arial"/>
                <w:bCs/>
                <w:sz w:val="22"/>
                <w:szCs w:val="22"/>
              </w:rPr>
              <w:noBreakHyphen/>
              <w:t>4.5 and SSP5</w:t>
            </w:r>
            <w:r w:rsidRPr="00FB21F0">
              <w:rPr>
                <w:rFonts w:ascii="Arial" w:hAnsi="Arial" w:cs="Arial"/>
                <w:bCs/>
                <w:sz w:val="22"/>
                <w:szCs w:val="22"/>
              </w:rPr>
              <w:noBreakHyphen/>
              <w:t>8.5. Unsafe conditions are determined using WBGT thresholds of 28°C, 30°C, and 32°C—limits aligned with NIOSH guidelines (NIOSH, 2016) and U.S. Department of Labor standards—providing a robust framework to assess thermal risk.</w:t>
            </w:r>
          </w:p>
          <w:p w14:paraId="5FE7279A" w14:textId="77777777" w:rsidR="00FB21F0" w:rsidRPr="00FB21F0" w:rsidRDefault="00FB21F0" w:rsidP="00FB21F0">
            <w:pPr>
              <w:pStyle w:val="NormalWeb"/>
              <w:rPr>
                <w:rFonts w:ascii="Arial" w:hAnsi="Arial" w:cs="Arial"/>
                <w:bCs/>
                <w:sz w:val="22"/>
                <w:szCs w:val="22"/>
              </w:rPr>
            </w:pPr>
            <w:r w:rsidRPr="00FB21F0">
              <w:rPr>
                <w:rFonts w:ascii="Arial" w:hAnsi="Arial" w:cs="Arial"/>
                <w:bCs/>
                <w:sz w:val="22"/>
                <w:szCs w:val="22"/>
              </w:rPr>
              <w:t>Our results reveal that although the global agricultural workforce is projected to grow modestly from 1.30 to 1.33 billion by 2050, the number of workers exposed to over 100 days of unsafe heat stress annually is expected to surge dramatically. Under SSP2</w:t>
            </w:r>
            <w:r w:rsidRPr="00FB21F0">
              <w:rPr>
                <w:rFonts w:ascii="Arial" w:hAnsi="Arial" w:cs="Arial"/>
                <w:bCs/>
                <w:sz w:val="22"/>
                <w:szCs w:val="22"/>
              </w:rPr>
              <w:noBreakHyphen/>
              <w:t>4.5, the exposed population increases from 359 million in 2000 to 663 million by 2050, with similar trends under SSP5</w:t>
            </w:r>
            <w:r w:rsidRPr="00FB21F0">
              <w:rPr>
                <w:rFonts w:ascii="Arial" w:hAnsi="Arial" w:cs="Arial"/>
                <w:bCs/>
                <w:sz w:val="22"/>
                <w:szCs w:val="22"/>
              </w:rPr>
              <w:noBreakHyphen/>
              <w:t>8.5. At a subnational level, over 30% of administrative units are anticipated to experience concurrent rises in workforce density and heat exposure, with nearly 18% of units encountering at least a 10% increase in exposure beyond the 30°C threshold. Globally, climate change is projected to reduce safe working time by 3–4% of full-day hours and 8–11% of a typical 9 AM–5 PM workday by mid</w:t>
            </w:r>
            <w:r w:rsidRPr="00FB21F0">
              <w:rPr>
                <w:rFonts w:ascii="Arial" w:hAnsi="Arial" w:cs="Arial"/>
                <w:bCs/>
                <w:sz w:val="22"/>
                <w:szCs w:val="22"/>
              </w:rPr>
              <w:noBreakHyphen/>
              <w:t>century, while even nighttime hours exhibit non-negligible risk increases.</w:t>
            </w:r>
          </w:p>
          <w:p w14:paraId="41E73149" w14:textId="77777777" w:rsidR="00FB21F0" w:rsidRPr="00FB21F0" w:rsidRDefault="00FB21F0" w:rsidP="00FB21F0">
            <w:pPr>
              <w:pStyle w:val="NormalWeb"/>
              <w:rPr>
                <w:rFonts w:ascii="Arial" w:hAnsi="Arial" w:cs="Arial"/>
                <w:bCs/>
                <w:sz w:val="22"/>
                <w:szCs w:val="22"/>
              </w:rPr>
            </w:pPr>
            <w:r w:rsidRPr="00FB21F0">
              <w:rPr>
                <w:rFonts w:ascii="Arial" w:hAnsi="Arial" w:cs="Arial"/>
                <w:bCs/>
                <w:sz w:val="22"/>
                <w:szCs w:val="22"/>
              </w:rPr>
              <w:t>Regional disparities are pronounced. In tropical and coastal regions of South Asia, East Asia, and Sub</w:t>
            </w:r>
            <w:r w:rsidRPr="00FB21F0">
              <w:rPr>
                <w:rFonts w:ascii="Arial" w:hAnsi="Arial" w:cs="Arial"/>
                <w:bCs/>
                <w:sz w:val="22"/>
                <w:szCs w:val="22"/>
              </w:rPr>
              <w:noBreakHyphen/>
              <w:t>Saharan Africa, extreme heat increasingly encroaches upon cooler evening hours, complicating adaptive strategies such as work schedule shifts (Pradhan et al., 2019). In contrast, regions like North America and Eastern/Central Asia display a more confined exposure window, predominantly during peak afternoon hours. These findings build on earlier assessments of heat stress impacts (Khayat et al., 2022; de Lima et al., 2021; Nelson et al., 2024) by offering a comprehensive, hourly analysis that captures both climatic and demographic drivers of risk.</w:t>
            </w:r>
          </w:p>
          <w:p w14:paraId="5D5A9E66" w14:textId="77777777" w:rsidR="00FB21F0" w:rsidRPr="00FB21F0" w:rsidRDefault="00FB21F0" w:rsidP="00FB21F0">
            <w:pPr>
              <w:pStyle w:val="NormalWeb"/>
              <w:rPr>
                <w:rFonts w:ascii="Arial" w:hAnsi="Arial" w:cs="Arial"/>
                <w:bCs/>
                <w:sz w:val="22"/>
                <w:szCs w:val="22"/>
              </w:rPr>
            </w:pPr>
            <w:r w:rsidRPr="00FB21F0">
              <w:rPr>
                <w:rFonts w:ascii="Arial" w:hAnsi="Arial" w:cs="Arial"/>
                <w:bCs/>
                <w:sz w:val="22"/>
                <w:szCs w:val="22"/>
              </w:rPr>
              <w:t>Our study underscores the urgency for climate</w:t>
            </w:r>
            <w:r w:rsidRPr="00FB21F0">
              <w:rPr>
                <w:rFonts w:ascii="Arial" w:hAnsi="Arial" w:cs="Arial"/>
                <w:bCs/>
                <w:sz w:val="22"/>
                <w:szCs w:val="22"/>
              </w:rPr>
              <w:noBreakHyphen/>
              <w:t>resilient policies that safeguard agricultural workers’ health and livelihoods. As climate change extends unsafe working hours, targeted interventions are essential to secure the right to safe work, especially in the world’s most vulnerable regions.</w:t>
            </w:r>
          </w:p>
          <w:p w14:paraId="0D3224DC" w14:textId="55785E9B" w:rsidR="009D4D3C" w:rsidRDefault="009D4D3C" w:rsidP="00C27896">
            <w:pPr>
              <w:jc w:val="both"/>
              <w:rPr>
                <w:rFonts w:ascii="Arial" w:hAnsi="Arial" w:cs="Arial"/>
                <w:b/>
                <w:sz w:val="22"/>
                <w:szCs w:val="22"/>
              </w:rPr>
            </w:pPr>
            <w:r>
              <w:rPr>
                <w:rFonts w:ascii="Arial" w:hAnsi="Arial" w:cs="Arial"/>
                <w:b/>
                <w:noProof/>
                <w:sz w:val="22"/>
                <w:szCs w:val="22"/>
              </w:rPr>
              <w:lastRenderedPageBreak/>
              <w:drawing>
                <wp:inline distT="0" distB="0" distL="0" distR="0" wp14:anchorId="5AAB1F67" wp14:editId="71E0A535">
                  <wp:extent cx="5349240" cy="7132320"/>
                  <wp:effectExtent l="0" t="0" r="0" b="5080"/>
                  <wp:docPr id="183820145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201455" name="Picture 1838201455"/>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49240" cy="7132320"/>
                          </a:xfrm>
                          <a:prstGeom prst="rect">
                            <a:avLst/>
                          </a:prstGeom>
                        </pic:spPr>
                      </pic:pic>
                    </a:graphicData>
                  </a:graphic>
                </wp:inline>
              </w:drawing>
            </w:r>
          </w:p>
          <w:p w14:paraId="33409864" w14:textId="24B069BB" w:rsidR="009D4D3C" w:rsidRPr="007B69BC" w:rsidRDefault="009D4D3C" w:rsidP="00C27896">
            <w:pPr>
              <w:jc w:val="both"/>
              <w:rPr>
                <w:rFonts w:ascii="Arial" w:hAnsi="Arial" w:cs="Arial"/>
                <w:bCs/>
              </w:rPr>
            </w:pPr>
            <w:r w:rsidRPr="0043496B">
              <w:rPr>
                <w:rFonts w:ascii="Arial" w:hAnsi="Arial" w:cs="Arial"/>
                <w:bCs/>
              </w:rPr>
              <w:t>Fig. 3: Changes in unsafe working hours between 2000-2050. The heatmaps depict the percentage change in unsafe working hours categorized by region, under two climate scenarios (SSP2-4.5 and SSP5-8.5) under the 28°C WBGT threshold and for the harvesting season. The colours reflect the severity of the rise in percentage terms, where 100% represents the entire harvesting season.</w:t>
            </w:r>
          </w:p>
          <w:p w14:paraId="5023131D" w14:textId="77777777" w:rsidR="009D4D3C" w:rsidRDefault="009D4D3C" w:rsidP="00C27896">
            <w:pPr>
              <w:jc w:val="both"/>
              <w:rPr>
                <w:rFonts w:ascii="Arial" w:hAnsi="Arial" w:cs="Arial"/>
                <w:b/>
                <w:sz w:val="22"/>
                <w:szCs w:val="22"/>
              </w:rPr>
            </w:pPr>
          </w:p>
          <w:p w14:paraId="15D05C95" w14:textId="77777777" w:rsidR="009D4D3C" w:rsidRDefault="009D4D3C" w:rsidP="00C27896">
            <w:pPr>
              <w:jc w:val="both"/>
              <w:rPr>
                <w:rFonts w:ascii="Arial" w:hAnsi="Arial" w:cs="Arial"/>
                <w:b/>
                <w:sz w:val="22"/>
                <w:szCs w:val="22"/>
              </w:rPr>
            </w:pPr>
          </w:p>
          <w:p w14:paraId="52F9E057" w14:textId="70CAEA0A" w:rsidR="00EB190D" w:rsidRDefault="00115952" w:rsidP="00EB190D">
            <w:pPr>
              <w:jc w:val="both"/>
              <w:rPr>
                <w:rFonts w:ascii="Arial" w:hAnsi="Arial" w:cs="Arial"/>
                <w:b/>
                <w:sz w:val="22"/>
                <w:szCs w:val="22"/>
              </w:rPr>
            </w:pPr>
            <w:r>
              <w:rPr>
                <w:rFonts w:ascii="Arial" w:hAnsi="Arial" w:cs="Arial"/>
                <w:b/>
                <w:sz w:val="22"/>
                <w:szCs w:val="22"/>
              </w:rPr>
              <w:lastRenderedPageBreak/>
              <w:t>References</w:t>
            </w:r>
          </w:p>
          <w:p w14:paraId="3FDB4444" w14:textId="77777777" w:rsidR="00EB190D" w:rsidRPr="00ED1699" w:rsidRDefault="00ED1699" w:rsidP="00ED1699">
            <w:pPr>
              <w:pStyle w:val="NormalWeb"/>
              <w:numPr>
                <w:ilvl w:val="0"/>
                <w:numId w:val="2"/>
              </w:numPr>
              <w:rPr>
                <w:rFonts w:ascii="Arial" w:hAnsi="Arial" w:cs="Arial"/>
              </w:rPr>
            </w:pPr>
            <w:r w:rsidRPr="003D133C">
              <w:rPr>
                <w:rFonts w:ascii="Arial" w:hAnsi="Arial" w:cs="Arial"/>
                <w:lang w:val="es-ES"/>
              </w:rPr>
              <w:t xml:space="preserve">de Lima, C. Z., Buzan, J. R., Moore, F. C., Baldos, U. L. C., Huber, M., &amp; </w:t>
            </w:r>
            <w:proofErr w:type="spellStart"/>
            <w:r w:rsidRPr="003D133C">
              <w:rPr>
                <w:rFonts w:ascii="Arial" w:hAnsi="Arial" w:cs="Arial"/>
                <w:lang w:val="es-ES"/>
              </w:rPr>
              <w:t>Hertel</w:t>
            </w:r>
            <w:proofErr w:type="spellEnd"/>
            <w:r w:rsidRPr="003D133C">
              <w:rPr>
                <w:rFonts w:ascii="Arial" w:hAnsi="Arial" w:cs="Arial"/>
                <w:lang w:val="es-ES"/>
              </w:rPr>
              <w:t xml:space="preserve">, T. W. (2021). </w:t>
            </w:r>
            <w:r w:rsidRPr="003D133C">
              <w:rPr>
                <w:rFonts w:ascii="Arial" w:hAnsi="Arial" w:cs="Arial"/>
              </w:rPr>
              <w:t xml:space="preserve">Heat stress on agricultural workers exacerbates crop impacts of climate change. </w:t>
            </w:r>
            <w:r w:rsidRPr="003D133C">
              <w:rPr>
                <w:rStyle w:val="Emphasis"/>
                <w:rFonts w:ascii="Arial" w:eastAsiaTheme="majorEastAsia" w:hAnsi="Arial" w:cs="Arial"/>
              </w:rPr>
              <w:t>Environmental Research Letters, 16</w:t>
            </w:r>
            <w:r w:rsidRPr="003D133C">
              <w:rPr>
                <w:rFonts w:ascii="Arial" w:hAnsi="Arial" w:cs="Arial"/>
              </w:rPr>
              <w:t xml:space="preserve">(4): 044020. </w:t>
            </w:r>
            <w:hyperlink r:id="rId9" w:tgtFrame="_blank" w:history="1">
              <w:r w:rsidRPr="003D133C">
                <w:rPr>
                  <w:rStyle w:val="Hyperlink"/>
                  <w:rFonts w:ascii="Arial" w:hAnsi="Arial" w:cs="Arial"/>
                </w:rPr>
                <w:t>https://doi.org/10.1088/1748-9326/abeb9f</w:t>
              </w:r>
            </w:hyperlink>
          </w:p>
          <w:p w14:paraId="75C3E722" w14:textId="77777777" w:rsidR="00032ADD" w:rsidRPr="000879F5" w:rsidRDefault="00032ADD" w:rsidP="00032ADD">
            <w:pPr>
              <w:pStyle w:val="NormalWeb"/>
              <w:numPr>
                <w:ilvl w:val="0"/>
                <w:numId w:val="2"/>
              </w:numPr>
              <w:rPr>
                <w:rFonts w:ascii="Arial" w:hAnsi="Arial" w:cs="Arial"/>
              </w:rPr>
            </w:pPr>
            <w:r w:rsidRPr="003D133C">
              <w:rPr>
                <w:rFonts w:ascii="Arial" w:hAnsi="Arial" w:cs="Arial"/>
              </w:rPr>
              <w:t xml:space="preserve">Green, H., Bailey, J., Schwarz, L., Vanos, J., Ebi, K., &amp; </w:t>
            </w:r>
            <w:proofErr w:type="spellStart"/>
            <w:r w:rsidRPr="003D133C">
              <w:rPr>
                <w:rFonts w:ascii="Arial" w:hAnsi="Arial" w:cs="Arial"/>
              </w:rPr>
              <w:t>Benmarhnia</w:t>
            </w:r>
            <w:proofErr w:type="spellEnd"/>
            <w:r w:rsidRPr="003D133C">
              <w:rPr>
                <w:rFonts w:ascii="Arial" w:hAnsi="Arial" w:cs="Arial"/>
              </w:rPr>
              <w:t xml:space="preserve">, T. (2019). Impact of heat on mortality and morbidity in low and middle-income countries: A review of the epidemiological evidence and considerations for future research. </w:t>
            </w:r>
            <w:r w:rsidRPr="003D133C">
              <w:rPr>
                <w:rStyle w:val="Emphasis"/>
                <w:rFonts w:ascii="Arial" w:eastAsiaTheme="majorEastAsia" w:hAnsi="Arial" w:cs="Arial"/>
              </w:rPr>
              <w:t>Environmental Research, 171</w:t>
            </w:r>
            <w:r w:rsidRPr="003D133C">
              <w:rPr>
                <w:rFonts w:ascii="Arial" w:hAnsi="Arial" w:cs="Arial"/>
              </w:rPr>
              <w:t xml:space="preserve">, 80–91. </w:t>
            </w:r>
            <w:hyperlink r:id="rId10" w:tgtFrame="_blank" w:history="1">
              <w:r w:rsidRPr="003D133C">
                <w:rPr>
                  <w:rStyle w:val="Hyperlink"/>
                  <w:rFonts w:ascii="Arial" w:hAnsi="Arial" w:cs="Arial"/>
                </w:rPr>
                <w:t>https://doi.org/10.1016/j.envres.2019.01.010</w:t>
              </w:r>
            </w:hyperlink>
          </w:p>
          <w:p w14:paraId="1B71144D" w14:textId="075615F1" w:rsidR="000879F5" w:rsidRPr="00966702" w:rsidRDefault="000879F5" w:rsidP="000879F5">
            <w:pPr>
              <w:pStyle w:val="NormalWeb"/>
              <w:numPr>
                <w:ilvl w:val="0"/>
                <w:numId w:val="2"/>
              </w:numPr>
              <w:rPr>
                <w:rFonts w:ascii="Arial" w:hAnsi="Arial" w:cs="Arial"/>
              </w:rPr>
            </w:pPr>
            <w:r w:rsidRPr="003D133C">
              <w:rPr>
                <w:rFonts w:ascii="Arial" w:hAnsi="Arial" w:cs="Arial"/>
              </w:rPr>
              <w:t xml:space="preserve">El Khayat, M., Halwani, D. A., </w:t>
            </w:r>
            <w:proofErr w:type="spellStart"/>
            <w:r w:rsidRPr="003D133C">
              <w:rPr>
                <w:rFonts w:ascii="Arial" w:hAnsi="Arial" w:cs="Arial"/>
              </w:rPr>
              <w:t>Hneiny</w:t>
            </w:r>
            <w:proofErr w:type="spellEnd"/>
            <w:r w:rsidRPr="003D133C">
              <w:rPr>
                <w:rFonts w:ascii="Arial" w:hAnsi="Arial" w:cs="Arial"/>
              </w:rPr>
              <w:t xml:space="preserve">, L., Alameddine, I., Haidar, M. A., &amp; Habib, R. R. (2022). Impacts of climate change and heat stress on farmworkers’ health: A scoping review. </w:t>
            </w:r>
            <w:r w:rsidRPr="003D133C">
              <w:rPr>
                <w:rStyle w:val="Emphasis"/>
                <w:rFonts w:ascii="Arial" w:eastAsiaTheme="majorEastAsia" w:hAnsi="Arial" w:cs="Arial"/>
              </w:rPr>
              <w:t>Frontiers in Public Health, 10</w:t>
            </w:r>
            <w:r w:rsidRPr="003D133C">
              <w:rPr>
                <w:rFonts w:ascii="Arial" w:hAnsi="Arial" w:cs="Arial"/>
              </w:rPr>
              <w:t xml:space="preserve">. ISSN 2296-2565. </w:t>
            </w:r>
            <w:hyperlink r:id="rId11" w:tgtFrame="_blank" w:history="1">
              <w:r w:rsidRPr="003D133C">
                <w:rPr>
                  <w:rStyle w:val="Hyperlink"/>
                  <w:rFonts w:ascii="Arial" w:hAnsi="Arial" w:cs="Arial"/>
                </w:rPr>
                <w:t>https://doi.org/10.3389/fpubh.2022.782811</w:t>
              </w:r>
            </w:hyperlink>
          </w:p>
          <w:p w14:paraId="059C132F" w14:textId="77777777" w:rsidR="00966702" w:rsidRPr="003D133C" w:rsidRDefault="00966702" w:rsidP="00966702">
            <w:pPr>
              <w:pStyle w:val="NormalWeb"/>
              <w:numPr>
                <w:ilvl w:val="0"/>
                <w:numId w:val="2"/>
              </w:numPr>
              <w:rPr>
                <w:rFonts w:ascii="Arial" w:hAnsi="Arial" w:cs="Arial"/>
              </w:rPr>
            </w:pPr>
            <w:r w:rsidRPr="003D133C">
              <w:rPr>
                <w:rFonts w:ascii="Arial" w:hAnsi="Arial" w:cs="Arial"/>
              </w:rPr>
              <w:t xml:space="preserve">Linvill, D. E. (1990). Calculating chilling hours and chill units from daily maximum and minimum temperature observations. </w:t>
            </w:r>
            <w:proofErr w:type="spellStart"/>
            <w:r w:rsidRPr="003D133C">
              <w:rPr>
                <w:rStyle w:val="Emphasis"/>
                <w:rFonts w:ascii="Arial" w:eastAsiaTheme="majorEastAsia" w:hAnsi="Arial" w:cs="Arial"/>
              </w:rPr>
              <w:t>HortScience</w:t>
            </w:r>
            <w:proofErr w:type="spellEnd"/>
            <w:r w:rsidRPr="003D133C">
              <w:rPr>
                <w:rStyle w:val="Emphasis"/>
                <w:rFonts w:ascii="Arial" w:eastAsiaTheme="majorEastAsia" w:hAnsi="Arial" w:cs="Arial"/>
              </w:rPr>
              <w:t xml:space="preserve"> </w:t>
            </w:r>
            <w:proofErr w:type="spellStart"/>
            <w:r w:rsidRPr="003D133C">
              <w:rPr>
                <w:rStyle w:val="Emphasis"/>
                <w:rFonts w:ascii="Arial" w:eastAsiaTheme="majorEastAsia" w:hAnsi="Arial" w:cs="Arial"/>
              </w:rPr>
              <w:t>HortSci</w:t>
            </w:r>
            <w:proofErr w:type="spellEnd"/>
            <w:r w:rsidRPr="003D133C">
              <w:rPr>
                <w:rStyle w:val="Emphasis"/>
                <w:rFonts w:ascii="Arial" w:eastAsiaTheme="majorEastAsia" w:hAnsi="Arial" w:cs="Arial"/>
              </w:rPr>
              <w:t>, 25</w:t>
            </w:r>
            <w:r w:rsidRPr="003D133C">
              <w:rPr>
                <w:rFonts w:ascii="Arial" w:hAnsi="Arial" w:cs="Arial"/>
              </w:rPr>
              <w:t xml:space="preserve">(1): 14 – 16. </w:t>
            </w:r>
            <w:hyperlink r:id="rId12" w:tgtFrame="_blank" w:history="1">
              <w:r w:rsidRPr="003D133C">
                <w:rPr>
                  <w:rStyle w:val="Hyperlink"/>
                  <w:rFonts w:ascii="Arial" w:hAnsi="Arial" w:cs="Arial"/>
                </w:rPr>
                <w:t>https://doi.org/10.21273/HORTSCI.25.1.14</w:t>
              </w:r>
            </w:hyperlink>
          </w:p>
          <w:p w14:paraId="5F6E3C0E" w14:textId="77777777" w:rsidR="00E61685" w:rsidRPr="003D133C" w:rsidRDefault="00E61685" w:rsidP="00E61685">
            <w:pPr>
              <w:pStyle w:val="NormalWeb"/>
              <w:numPr>
                <w:ilvl w:val="0"/>
                <w:numId w:val="2"/>
              </w:numPr>
              <w:rPr>
                <w:rFonts w:ascii="Arial" w:hAnsi="Arial" w:cs="Arial"/>
              </w:rPr>
            </w:pPr>
            <w:r w:rsidRPr="003D133C">
              <w:rPr>
                <w:rFonts w:ascii="Arial" w:hAnsi="Arial" w:cs="Arial"/>
              </w:rPr>
              <w:t xml:space="preserve">National Institute for Occupational Safety and Health (NIOSH). (2016). </w:t>
            </w:r>
            <w:r w:rsidRPr="003D133C">
              <w:rPr>
                <w:rStyle w:val="Emphasis"/>
                <w:rFonts w:ascii="Arial" w:eastAsiaTheme="majorEastAsia" w:hAnsi="Arial" w:cs="Arial"/>
              </w:rPr>
              <w:t>Criteria for a recommended standard: Occupational exposure to heat and hot environments</w:t>
            </w:r>
            <w:r w:rsidRPr="003D133C">
              <w:rPr>
                <w:rFonts w:ascii="Arial" w:hAnsi="Arial" w:cs="Arial"/>
              </w:rPr>
              <w:t xml:space="preserve">. NIOSH Publication No. 2016-106. Centers for Disease Control and Prevention. </w:t>
            </w:r>
            <w:hyperlink r:id="rId13" w:tgtFrame="_blank" w:history="1">
              <w:r w:rsidRPr="003D133C">
                <w:rPr>
                  <w:rStyle w:val="Hyperlink"/>
                  <w:rFonts w:ascii="Arial" w:hAnsi="Arial" w:cs="Arial"/>
                </w:rPr>
                <w:t>NIOSH Publication 2016-106</w:t>
              </w:r>
            </w:hyperlink>
            <w:r w:rsidRPr="003D133C">
              <w:rPr>
                <w:rFonts w:ascii="Arial" w:hAnsi="Arial" w:cs="Arial"/>
              </w:rPr>
              <w:t>.</w:t>
            </w:r>
          </w:p>
          <w:p w14:paraId="768273A9" w14:textId="145150EC" w:rsidR="00966702" w:rsidRPr="006040ED" w:rsidRDefault="006040ED" w:rsidP="006040ED">
            <w:pPr>
              <w:pStyle w:val="NormalWeb"/>
              <w:numPr>
                <w:ilvl w:val="0"/>
                <w:numId w:val="2"/>
              </w:numPr>
              <w:rPr>
                <w:rFonts w:ascii="Arial" w:hAnsi="Arial" w:cs="Arial"/>
              </w:rPr>
            </w:pPr>
            <w:r w:rsidRPr="003D133C">
              <w:rPr>
                <w:rFonts w:ascii="Arial" w:hAnsi="Arial" w:cs="Arial"/>
              </w:rPr>
              <w:t xml:space="preserve">Nelson, G. C., Vanos, J., </w:t>
            </w:r>
            <w:proofErr w:type="spellStart"/>
            <w:r w:rsidRPr="003D133C">
              <w:rPr>
                <w:rFonts w:ascii="Arial" w:hAnsi="Arial" w:cs="Arial"/>
              </w:rPr>
              <w:t>Havenith</w:t>
            </w:r>
            <w:proofErr w:type="spellEnd"/>
            <w:r w:rsidRPr="003D133C">
              <w:rPr>
                <w:rFonts w:ascii="Arial" w:hAnsi="Arial" w:cs="Arial"/>
              </w:rPr>
              <w:t xml:space="preserve">, G., Jay, O., Ebi, K. L., &amp; </w:t>
            </w:r>
            <w:proofErr w:type="spellStart"/>
            <w:r w:rsidRPr="003D133C">
              <w:rPr>
                <w:rFonts w:ascii="Arial" w:hAnsi="Arial" w:cs="Arial"/>
              </w:rPr>
              <w:t>Hijmans</w:t>
            </w:r>
            <w:proofErr w:type="spellEnd"/>
            <w:r w:rsidRPr="003D133C">
              <w:rPr>
                <w:rFonts w:ascii="Arial" w:hAnsi="Arial" w:cs="Arial"/>
              </w:rPr>
              <w:t xml:space="preserve">, R. J. (2024). Global reductions in manual agricultural work capacity due to climate change. </w:t>
            </w:r>
            <w:r w:rsidRPr="003D133C">
              <w:rPr>
                <w:rStyle w:val="Emphasis"/>
                <w:rFonts w:ascii="Arial" w:eastAsiaTheme="majorEastAsia" w:hAnsi="Arial" w:cs="Arial"/>
              </w:rPr>
              <w:t>Global Change Biology, 30</w:t>
            </w:r>
            <w:r w:rsidRPr="003D133C">
              <w:rPr>
                <w:rFonts w:ascii="Arial" w:hAnsi="Arial" w:cs="Arial"/>
              </w:rPr>
              <w:t xml:space="preserve">(1): e17142. </w:t>
            </w:r>
            <w:hyperlink r:id="rId14" w:tgtFrame="_blank" w:history="1">
              <w:r w:rsidRPr="003D133C">
                <w:rPr>
                  <w:rStyle w:val="Hyperlink"/>
                  <w:rFonts w:ascii="Arial" w:hAnsi="Arial" w:cs="Arial"/>
                </w:rPr>
                <w:t>https://doi.org/10.1111/gcb.17142</w:t>
              </w:r>
            </w:hyperlink>
          </w:p>
          <w:p w14:paraId="769D0565" w14:textId="77777777" w:rsidR="00710FA3" w:rsidRPr="003D133C" w:rsidRDefault="00710FA3" w:rsidP="00710FA3">
            <w:pPr>
              <w:pStyle w:val="NormalWeb"/>
              <w:numPr>
                <w:ilvl w:val="0"/>
                <w:numId w:val="2"/>
              </w:numPr>
              <w:rPr>
                <w:rFonts w:ascii="Arial" w:hAnsi="Arial" w:cs="Arial"/>
              </w:rPr>
            </w:pPr>
            <w:r w:rsidRPr="003D133C">
              <w:rPr>
                <w:rFonts w:ascii="Arial" w:hAnsi="Arial" w:cs="Arial"/>
                <w:lang w:val="es-ES"/>
              </w:rPr>
              <w:t xml:space="preserve">Ormaza-Zulueta, N., Miller, S., &amp; </w:t>
            </w:r>
            <w:proofErr w:type="spellStart"/>
            <w:r w:rsidRPr="003D133C">
              <w:rPr>
                <w:rFonts w:ascii="Arial" w:hAnsi="Arial" w:cs="Arial"/>
                <w:lang w:val="es-ES"/>
              </w:rPr>
              <w:t>Mehrabi</w:t>
            </w:r>
            <w:proofErr w:type="spellEnd"/>
            <w:r w:rsidRPr="003D133C">
              <w:rPr>
                <w:rFonts w:ascii="Arial" w:hAnsi="Arial" w:cs="Arial"/>
                <w:lang w:val="es-ES"/>
              </w:rPr>
              <w:t xml:space="preserve">, Z. (2024). </w:t>
            </w:r>
            <w:r w:rsidRPr="003D133C">
              <w:rPr>
                <w:rFonts w:ascii="Arial" w:hAnsi="Arial" w:cs="Arial"/>
              </w:rPr>
              <w:t xml:space="preserve">Geographic distribution of the global agricultural workforce every decade for the years 2000-2100. </w:t>
            </w:r>
            <w:hyperlink r:id="rId15" w:tgtFrame="_blank" w:history="1">
              <w:r w:rsidRPr="003D133C">
                <w:rPr>
                  <w:rStyle w:val="Hyperlink"/>
                  <w:rFonts w:ascii="Arial" w:hAnsi="Arial" w:cs="Arial"/>
                </w:rPr>
                <w:t>https://doi.org/10.48550/arXiv.2412.15841</w:t>
              </w:r>
            </w:hyperlink>
          </w:p>
          <w:p w14:paraId="5CA3C7F5" w14:textId="77777777" w:rsidR="00955D50" w:rsidRPr="003D133C" w:rsidRDefault="00955D50" w:rsidP="00955D50">
            <w:pPr>
              <w:pStyle w:val="NormalWeb"/>
              <w:numPr>
                <w:ilvl w:val="0"/>
                <w:numId w:val="2"/>
              </w:numPr>
              <w:rPr>
                <w:rFonts w:ascii="Arial" w:hAnsi="Arial" w:cs="Arial"/>
              </w:rPr>
            </w:pPr>
            <w:r w:rsidRPr="003D133C">
              <w:rPr>
                <w:rFonts w:ascii="Arial" w:hAnsi="Arial" w:cs="Arial"/>
              </w:rPr>
              <w:t xml:space="preserve">Pradhan, B., </w:t>
            </w:r>
            <w:proofErr w:type="spellStart"/>
            <w:r w:rsidRPr="003D133C">
              <w:rPr>
                <w:rFonts w:ascii="Arial" w:hAnsi="Arial" w:cs="Arial"/>
              </w:rPr>
              <w:t>Kjellstrom</w:t>
            </w:r>
            <w:proofErr w:type="spellEnd"/>
            <w:r w:rsidRPr="003D133C">
              <w:rPr>
                <w:rFonts w:ascii="Arial" w:hAnsi="Arial" w:cs="Arial"/>
              </w:rPr>
              <w:t xml:space="preserve">, T., Atar, D., Sharma, P., Kayastha, B., Bhandari, G., &amp; Pradhan, P. K. (2019). Heat Stress Impacts on Cardiac Mortality in Nepali Migrant Workers in Qatar. </w:t>
            </w:r>
            <w:r w:rsidRPr="003D133C">
              <w:rPr>
                <w:rStyle w:val="Emphasis"/>
                <w:rFonts w:ascii="Arial" w:eastAsiaTheme="majorEastAsia" w:hAnsi="Arial" w:cs="Arial"/>
              </w:rPr>
              <w:t>Cardiology, 143</w:t>
            </w:r>
            <w:r w:rsidRPr="003D133C">
              <w:rPr>
                <w:rFonts w:ascii="Arial" w:hAnsi="Arial" w:cs="Arial"/>
              </w:rPr>
              <w:t xml:space="preserve">(1-2): 37–48. </w:t>
            </w:r>
            <w:hyperlink r:id="rId16" w:tgtFrame="_blank" w:history="1">
              <w:r w:rsidRPr="003D133C">
                <w:rPr>
                  <w:rStyle w:val="Hyperlink"/>
                  <w:rFonts w:ascii="Arial" w:hAnsi="Arial" w:cs="Arial"/>
                </w:rPr>
                <w:t>https://doi.org/10.1159/000500853</w:t>
              </w:r>
            </w:hyperlink>
          </w:p>
          <w:p w14:paraId="42512763" w14:textId="77777777" w:rsidR="00F663A2" w:rsidRPr="003D133C" w:rsidRDefault="00F663A2" w:rsidP="00F663A2">
            <w:pPr>
              <w:pStyle w:val="NormalWeb"/>
              <w:numPr>
                <w:ilvl w:val="0"/>
                <w:numId w:val="2"/>
              </w:numPr>
              <w:rPr>
                <w:rFonts w:ascii="Arial" w:hAnsi="Arial" w:cs="Arial"/>
              </w:rPr>
            </w:pPr>
            <w:r w:rsidRPr="003D133C">
              <w:rPr>
                <w:rFonts w:ascii="Arial" w:hAnsi="Arial" w:cs="Arial"/>
              </w:rPr>
              <w:t xml:space="preserve">Spencer, J. W. (1971). Fourier series representation of the position of the sun. </w:t>
            </w:r>
            <w:r w:rsidRPr="003D133C">
              <w:rPr>
                <w:rStyle w:val="Emphasis"/>
                <w:rFonts w:ascii="Arial" w:eastAsiaTheme="majorEastAsia" w:hAnsi="Arial" w:cs="Arial"/>
              </w:rPr>
              <w:t>Search, 2</w:t>
            </w:r>
            <w:r w:rsidRPr="003D133C">
              <w:rPr>
                <w:rFonts w:ascii="Arial" w:hAnsi="Arial" w:cs="Arial"/>
              </w:rPr>
              <w:t>(5): 172.</w:t>
            </w:r>
          </w:p>
          <w:p w14:paraId="6CA110C1" w14:textId="50864ABF" w:rsidR="00ED1699" w:rsidRPr="00115952" w:rsidRDefault="00115952" w:rsidP="00115952">
            <w:pPr>
              <w:pStyle w:val="NormalWeb"/>
              <w:numPr>
                <w:ilvl w:val="0"/>
                <w:numId w:val="2"/>
              </w:numPr>
              <w:rPr>
                <w:rFonts w:ascii="Arial" w:hAnsi="Arial" w:cs="Arial"/>
              </w:rPr>
            </w:pPr>
            <w:r w:rsidRPr="003D133C">
              <w:rPr>
                <w:rFonts w:ascii="Arial" w:hAnsi="Arial" w:cs="Arial"/>
              </w:rPr>
              <w:t xml:space="preserve">Williams, E., Funk, C., Peterson, P., &amp; </w:t>
            </w:r>
            <w:proofErr w:type="spellStart"/>
            <w:r w:rsidRPr="003D133C">
              <w:rPr>
                <w:rFonts w:ascii="Arial" w:hAnsi="Arial" w:cs="Arial"/>
              </w:rPr>
              <w:t>Tuholske</w:t>
            </w:r>
            <w:proofErr w:type="spellEnd"/>
            <w:r w:rsidRPr="003D133C">
              <w:rPr>
                <w:rFonts w:ascii="Arial" w:hAnsi="Arial" w:cs="Arial"/>
              </w:rPr>
              <w:t xml:space="preserve">, C. (2024). High resolution climate change observations and projections for the evaluation of heat-related extremes. </w:t>
            </w:r>
            <w:r w:rsidRPr="003D133C">
              <w:rPr>
                <w:rStyle w:val="Emphasis"/>
                <w:rFonts w:ascii="Arial" w:eastAsiaTheme="majorEastAsia" w:hAnsi="Arial" w:cs="Arial"/>
              </w:rPr>
              <w:t>Scientific Data, 11</w:t>
            </w:r>
            <w:r w:rsidRPr="003D133C">
              <w:rPr>
                <w:rFonts w:ascii="Arial" w:hAnsi="Arial" w:cs="Arial"/>
              </w:rPr>
              <w:t>(1): 261.</w:t>
            </w:r>
          </w:p>
        </w:tc>
      </w:tr>
    </w:tbl>
    <w:p w14:paraId="550BC7E6" w14:textId="77777777" w:rsidR="009D4D3C" w:rsidRDefault="009D4D3C" w:rsidP="009D4D3C">
      <w:pPr>
        <w:tabs>
          <w:tab w:val="left" w:pos="8931"/>
        </w:tabs>
      </w:pPr>
    </w:p>
    <w:p w14:paraId="4000931A" w14:textId="77777777" w:rsidR="009D4D3C" w:rsidRPr="00C26081" w:rsidRDefault="009D4D3C" w:rsidP="009D4D3C"/>
    <w:p w14:paraId="6DB80EB5" w14:textId="77777777" w:rsidR="007D0903" w:rsidRDefault="007D0903"/>
    <w:sectPr w:rsidR="007D0903" w:rsidSect="009D4D3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786D"/>
    <w:multiLevelType w:val="multilevel"/>
    <w:tmpl w:val="95CA0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316374630">
    <w:abstractNumId w:val="1"/>
  </w:num>
  <w:num w:numId="2" w16cid:durableId="787285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D3C"/>
    <w:rsid w:val="00032ADD"/>
    <w:rsid w:val="000879F5"/>
    <w:rsid w:val="00115952"/>
    <w:rsid w:val="004C06B9"/>
    <w:rsid w:val="006040ED"/>
    <w:rsid w:val="00710FA3"/>
    <w:rsid w:val="007B69BC"/>
    <w:rsid w:val="007D0903"/>
    <w:rsid w:val="00955D50"/>
    <w:rsid w:val="00966702"/>
    <w:rsid w:val="009D4D3C"/>
    <w:rsid w:val="00A23BC8"/>
    <w:rsid w:val="00D43D75"/>
    <w:rsid w:val="00E3119B"/>
    <w:rsid w:val="00E61685"/>
    <w:rsid w:val="00EB190D"/>
    <w:rsid w:val="00ED1699"/>
    <w:rsid w:val="00F663A2"/>
    <w:rsid w:val="00FB2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832D8"/>
  <w15:chartTrackingRefBased/>
  <w15:docId w15:val="{85354E32-F23F-4D46-83F7-21ECA5305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D3C"/>
    <w:pPr>
      <w:spacing w:after="0" w:line="240" w:lineRule="auto"/>
    </w:pPr>
    <w:rPr>
      <w:rFonts w:eastAsiaTheme="minorEastAsia"/>
      <w:kern w:val="0"/>
      <w:lang w:val="en-CA" w:eastAsia="zh-TW"/>
      <w14:ligatures w14:val="none"/>
    </w:rPr>
  </w:style>
  <w:style w:type="paragraph" w:styleId="Heading1">
    <w:name w:val="heading 1"/>
    <w:basedOn w:val="Normal"/>
    <w:next w:val="Normal"/>
    <w:link w:val="Heading1Char"/>
    <w:uiPriority w:val="9"/>
    <w:qFormat/>
    <w:rsid w:val="009D4D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D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D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D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D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D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D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D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D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D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4D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D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D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D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D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D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D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D3C"/>
    <w:rPr>
      <w:rFonts w:eastAsiaTheme="majorEastAsia" w:cstheme="majorBidi"/>
      <w:color w:val="272727" w:themeColor="text1" w:themeTint="D8"/>
    </w:rPr>
  </w:style>
  <w:style w:type="paragraph" w:styleId="Title">
    <w:name w:val="Title"/>
    <w:basedOn w:val="Normal"/>
    <w:next w:val="Normal"/>
    <w:link w:val="TitleChar"/>
    <w:uiPriority w:val="10"/>
    <w:qFormat/>
    <w:rsid w:val="009D4D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D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D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D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D3C"/>
    <w:pPr>
      <w:spacing w:before="160"/>
      <w:jc w:val="center"/>
    </w:pPr>
    <w:rPr>
      <w:i/>
      <w:iCs/>
      <w:color w:val="404040" w:themeColor="text1" w:themeTint="BF"/>
    </w:rPr>
  </w:style>
  <w:style w:type="character" w:customStyle="1" w:styleId="QuoteChar">
    <w:name w:val="Quote Char"/>
    <w:basedOn w:val="DefaultParagraphFont"/>
    <w:link w:val="Quote"/>
    <w:uiPriority w:val="29"/>
    <w:rsid w:val="009D4D3C"/>
    <w:rPr>
      <w:i/>
      <w:iCs/>
      <w:color w:val="404040" w:themeColor="text1" w:themeTint="BF"/>
    </w:rPr>
  </w:style>
  <w:style w:type="paragraph" w:styleId="ListParagraph">
    <w:name w:val="List Paragraph"/>
    <w:basedOn w:val="Normal"/>
    <w:uiPriority w:val="34"/>
    <w:qFormat/>
    <w:rsid w:val="009D4D3C"/>
    <w:pPr>
      <w:ind w:left="720"/>
      <w:contextualSpacing/>
    </w:pPr>
  </w:style>
  <w:style w:type="character" w:styleId="IntenseEmphasis">
    <w:name w:val="Intense Emphasis"/>
    <w:basedOn w:val="DefaultParagraphFont"/>
    <w:uiPriority w:val="21"/>
    <w:qFormat/>
    <w:rsid w:val="009D4D3C"/>
    <w:rPr>
      <w:i/>
      <w:iCs/>
      <w:color w:val="0F4761" w:themeColor="accent1" w:themeShade="BF"/>
    </w:rPr>
  </w:style>
  <w:style w:type="paragraph" w:styleId="IntenseQuote">
    <w:name w:val="Intense Quote"/>
    <w:basedOn w:val="Normal"/>
    <w:next w:val="Normal"/>
    <w:link w:val="IntenseQuoteChar"/>
    <w:uiPriority w:val="30"/>
    <w:qFormat/>
    <w:rsid w:val="009D4D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D3C"/>
    <w:rPr>
      <w:i/>
      <w:iCs/>
      <w:color w:val="0F4761" w:themeColor="accent1" w:themeShade="BF"/>
    </w:rPr>
  </w:style>
  <w:style w:type="character" w:styleId="IntenseReference">
    <w:name w:val="Intense Reference"/>
    <w:basedOn w:val="DefaultParagraphFont"/>
    <w:uiPriority w:val="32"/>
    <w:qFormat/>
    <w:rsid w:val="009D4D3C"/>
    <w:rPr>
      <w:b/>
      <w:bCs/>
      <w:smallCaps/>
      <w:color w:val="0F4761" w:themeColor="accent1" w:themeShade="BF"/>
      <w:spacing w:val="5"/>
    </w:rPr>
  </w:style>
  <w:style w:type="table" w:styleId="TableGrid">
    <w:name w:val="Table Grid"/>
    <w:basedOn w:val="TableNormal"/>
    <w:rsid w:val="009D4D3C"/>
    <w:pPr>
      <w:spacing w:after="0" w:line="240" w:lineRule="auto"/>
    </w:pPr>
    <w:rPr>
      <w:rFonts w:ascii="Times New Roman" w:eastAsia="Times New Roman" w:hAnsi="Times New Roman" w:cs="Times New Roman"/>
      <w:kern w:val="0"/>
      <w:sz w:val="20"/>
      <w:szCs w:val="20"/>
      <w:lang w:val="en-NZ"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4D3C"/>
    <w:pPr>
      <w:spacing w:before="100" w:beforeAutospacing="1" w:after="100" w:afterAutospacing="1"/>
    </w:pPr>
    <w:rPr>
      <w:rFonts w:ascii="Times New Roman" w:eastAsia="Times New Roman" w:hAnsi="Times New Roman" w:cs="Times New Roman"/>
      <w:lang w:val="en-US" w:eastAsia="en-US"/>
    </w:rPr>
  </w:style>
  <w:style w:type="character" w:styleId="Emphasis">
    <w:name w:val="Emphasis"/>
    <w:basedOn w:val="DefaultParagraphFont"/>
    <w:uiPriority w:val="20"/>
    <w:qFormat/>
    <w:rsid w:val="009D4D3C"/>
    <w:rPr>
      <w:i/>
      <w:iCs/>
    </w:rPr>
  </w:style>
  <w:style w:type="character" w:styleId="Hyperlink">
    <w:name w:val="Hyperlink"/>
    <w:basedOn w:val="DefaultParagraphFont"/>
    <w:uiPriority w:val="99"/>
    <w:semiHidden/>
    <w:unhideWhenUsed/>
    <w:rsid w:val="009D4D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885666">
      <w:bodyDiv w:val="1"/>
      <w:marLeft w:val="0"/>
      <w:marRight w:val="0"/>
      <w:marTop w:val="0"/>
      <w:marBottom w:val="0"/>
      <w:divBdr>
        <w:top w:val="none" w:sz="0" w:space="0" w:color="auto"/>
        <w:left w:val="none" w:sz="0" w:space="0" w:color="auto"/>
        <w:bottom w:val="none" w:sz="0" w:space="0" w:color="auto"/>
        <w:right w:val="none" w:sz="0" w:space="0" w:color="auto"/>
      </w:divBdr>
    </w:div>
    <w:div w:id="1362051146">
      <w:bodyDiv w:val="1"/>
      <w:marLeft w:val="0"/>
      <w:marRight w:val="0"/>
      <w:marTop w:val="0"/>
      <w:marBottom w:val="0"/>
      <w:divBdr>
        <w:top w:val="none" w:sz="0" w:space="0" w:color="auto"/>
        <w:left w:val="none" w:sz="0" w:space="0" w:color="auto"/>
        <w:bottom w:val="none" w:sz="0" w:space="0" w:color="auto"/>
        <w:right w:val="none" w:sz="0" w:space="0" w:color="auto"/>
      </w:divBdr>
    </w:div>
    <w:div w:id="162477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dc.gov/niosh/docs/2016-106/pdfs/2016-106.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21273/HORTSCI.25.1.1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159/00050085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3389/fpubh.2022.782811" TargetMode="External"/><Relationship Id="rId5" Type="http://schemas.openxmlformats.org/officeDocument/2006/relationships/styles" Target="styles.xml"/><Relationship Id="rId15" Type="http://schemas.openxmlformats.org/officeDocument/2006/relationships/hyperlink" Target="https://doi.org/10.48550/arXiv.2412.15841" TargetMode="External"/><Relationship Id="rId10" Type="http://schemas.openxmlformats.org/officeDocument/2006/relationships/hyperlink" Target="https://doi.org/10.1016/j.envres.2019.01.010" TargetMode="External"/><Relationship Id="rId4" Type="http://schemas.openxmlformats.org/officeDocument/2006/relationships/numbering" Target="numbering.xml"/><Relationship Id="rId9" Type="http://schemas.openxmlformats.org/officeDocument/2006/relationships/hyperlink" Target="https://doi.org/10.1088/1748-9326/abeb9f" TargetMode="External"/><Relationship Id="rId14" Type="http://schemas.openxmlformats.org/officeDocument/2006/relationships/hyperlink" Target="https://doi.org/10.1111/gcb.171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87FB14-253A-4CAE-80C9-EEB9F236BDEB}">
  <ds:schemaRefs>
    <ds:schemaRef ds:uri="http://schemas.microsoft.com/sharepoint/v3/contenttype/forms"/>
  </ds:schemaRefs>
</ds:datastoreItem>
</file>

<file path=customXml/itemProps2.xml><?xml version="1.0" encoding="utf-8"?>
<ds:datastoreItem xmlns:ds="http://schemas.openxmlformats.org/officeDocument/2006/customXml" ds:itemID="{37613862-2286-43D4-B124-7689B3619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F219AA-14E1-4111-80A9-39CE10603C87}">
  <ds:schemaRefs>
    <ds:schemaRef ds:uri="9c8a2b7b-0bee-4c48-b0a6-23db8982d3bc"/>
    <ds:schemaRef ds:uri="http://purl.org/dc/elements/1.1/"/>
    <ds:schemaRef ds:uri="http://purl.org/dc/dcmitype/"/>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cab52c9b-ab33-4221-8af9-54f8f2b86a80"/>
    <ds:schemaRef ds:uri="6911e96c-4cc4-42d5-8e43-f93924cf6a05"/>
    <ds:schemaRef ds:uri="http://www.w3.org/XML/1998/namespace"/>
  </ds:schemaRefs>
</ds:datastoreItem>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3</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Naia Ormaza Zulueta</dc:creator>
  <cp:keywords/>
  <dc:description/>
  <cp:lastModifiedBy>Bethany Yee</cp:lastModifiedBy>
  <cp:revision>14</cp:revision>
  <dcterms:created xsi:type="dcterms:W3CDTF">2025-03-10T13:16:00Z</dcterms:created>
  <dcterms:modified xsi:type="dcterms:W3CDTF">2025-08-12T21:56:00Z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