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919DC" w14:textId="79AF4DE1" w:rsidR="00546D85" w:rsidRPr="00546D85" w:rsidRDefault="00546D85" w:rsidP="00546D85">
      <w:pPr>
        <w:adjustRightInd w:val="0"/>
        <w:snapToGrid w:val="0"/>
        <w:rPr>
          <w:rFonts w:ascii="Arial" w:eastAsia="新細明體" w:hAnsi="Arial" w:cs="Arial"/>
          <w:b/>
          <w:bCs/>
          <w:kern w:val="0"/>
          <w:szCs w:val="24"/>
        </w:rPr>
      </w:pPr>
      <w:r w:rsidRPr="00546D85">
        <w:rPr>
          <w:rFonts w:ascii="Arial" w:eastAsia="新細明體" w:hAnsi="Arial" w:cs="Arial"/>
          <w:b/>
          <w:bCs/>
          <w:kern w:val="0"/>
          <w:szCs w:val="24"/>
        </w:rPr>
        <w:t xml:space="preserve">Comparison of the Accuracy Between </w:t>
      </w:r>
      <w:r w:rsidR="0044302B" w:rsidRPr="0044302B">
        <w:rPr>
          <w:rFonts w:ascii="Arial" w:eastAsia="新細明體" w:hAnsi="Arial" w:cs="Arial"/>
          <w:b/>
          <w:bCs/>
          <w:kern w:val="0"/>
          <w:szCs w:val="24"/>
        </w:rPr>
        <w:t>AI Chatbots and Dietitians</w:t>
      </w:r>
      <w:r w:rsidRPr="00546D85">
        <w:rPr>
          <w:rFonts w:ascii="Arial" w:eastAsia="新細明體" w:hAnsi="Arial" w:cs="Arial"/>
          <w:b/>
          <w:bCs/>
          <w:kern w:val="0"/>
          <w:szCs w:val="24"/>
        </w:rPr>
        <w:t xml:space="preserve"> in the Evaluation of Nutrition Labels on Commercial Meal Boxes</w:t>
      </w:r>
    </w:p>
    <w:p w14:paraId="05C6F7BC" w14:textId="77777777" w:rsidR="00C57796" w:rsidRPr="002F6D99" w:rsidRDefault="00C57796" w:rsidP="00546D85">
      <w:pPr>
        <w:adjustRightInd w:val="0"/>
        <w:snapToGrid w:val="0"/>
        <w:rPr>
          <w:rFonts w:ascii="Arial" w:eastAsia="新細明體" w:hAnsi="Arial" w:cs="Arial"/>
          <w:b/>
          <w:bCs/>
          <w:kern w:val="0"/>
          <w:szCs w:val="24"/>
        </w:rPr>
      </w:pPr>
    </w:p>
    <w:p w14:paraId="6B512E60" w14:textId="3F0322D0" w:rsidR="00546D85" w:rsidRPr="00546D85" w:rsidRDefault="00823C23" w:rsidP="00546D85">
      <w:pPr>
        <w:adjustRightInd w:val="0"/>
        <w:snapToGrid w:val="0"/>
        <w:rPr>
          <w:rFonts w:ascii="Arial" w:eastAsia="新細明體" w:hAnsi="Arial" w:cs="Arial"/>
          <w:kern w:val="0"/>
          <w:szCs w:val="24"/>
        </w:rPr>
      </w:pPr>
      <w:r w:rsidRPr="00823C23">
        <w:rPr>
          <w:rFonts w:ascii="Arial" w:eastAsia="新細明體" w:hAnsi="Arial" w:cs="Arial"/>
          <w:b/>
          <w:bCs/>
          <w:kern w:val="0"/>
          <w:szCs w:val="24"/>
        </w:rPr>
        <w:t>Background &amp; Aim</w:t>
      </w:r>
      <w:r w:rsidR="00546D85" w:rsidRPr="00546D85">
        <w:rPr>
          <w:rFonts w:ascii="Arial" w:eastAsia="新細明體" w:hAnsi="Arial" w:cs="Arial"/>
          <w:b/>
          <w:bCs/>
          <w:kern w:val="0"/>
          <w:szCs w:val="24"/>
        </w:rPr>
        <w:t>:</w:t>
      </w:r>
      <w:r w:rsidR="00546D85" w:rsidRPr="00546D85">
        <w:rPr>
          <w:rFonts w:ascii="Arial" w:eastAsia="新細明體" w:hAnsi="Arial" w:cs="Arial"/>
          <w:kern w:val="0"/>
          <w:szCs w:val="24"/>
        </w:rPr>
        <w:br/>
        <w:t xml:space="preserve">As convenience store meals become a major dietary source for urban populations, the reliability of their nutrition labels is increasingly scrutinized. With advances in artificial intelligence (AI), large language models (LLMs) have been explored for automated nutrition estimation. This study aims to evaluate the accuracy and clinical applicability of AI-predicted nutrition data by comparing outputs from five AI models </w:t>
      </w:r>
      <w:r w:rsidR="006F63F2">
        <w:rPr>
          <w:rFonts w:ascii="Arial" w:eastAsia="新細明體" w:hAnsi="Arial" w:cs="Arial" w:hint="eastAsia"/>
          <w:kern w:val="0"/>
          <w:szCs w:val="24"/>
          <w:lang w:eastAsia="zh-TW"/>
        </w:rPr>
        <w:t>and</w:t>
      </w:r>
      <w:r w:rsidR="00546D85" w:rsidRPr="00546D85">
        <w:rPr>
          <w:rFonts w:ascii="Arial" w:eastAsia="新細明體" w:hAnsi="Arial" w:cs="Arial"/>
          <w:kern w:val="0"/>
          <w:szCs w:val="24"/>
        </w:rPr>
        <w:t xml:space="preserve"> professional dietitian estimations </w:t>
      </w:r>
      <w:r w:rsidR="006F63F2">
        <w:rPr>
          <w:rFonts w:ascii="Arial" w:eastAsia="新細明體" w:hAnsi="Arial" w:cs="Arial" w:hint="eastAsia"/>
          <w:kern w:val="0"/>
          <w:szCs w:val="24"/>
          <w:lang w:eastAsia="zh-TW"/>
        </w:rPr>
        <w:t>with nutrition facts shown on the labels</w:t>
      </w:r>
      <w:r w:rsidR="00546D85" w:rsidRPr="00546D85">
        <w:rPr>
          <w:rFonts w:ascii="Arial" w:eastAsia="新細明體" w:hAnsi="Arial" w:cs="Arial"/>
          <w:kern w:val="0"/>
          <w:szCs w:val="24"/>
        </w:rPr>
        <w:t>.</w:t>
      </w:r>
    </w:p>
    <w:p w14:paraId="246D0A05" w14:textId="5767CDE4" w:rsidR="00546D85" w:rsidRPr="00546D85" w:rsidRDefault="00546D85" w:rsidP="00546D85">
      <w:pPr>
        <w:adjustRightInd w:val="0"/>
        <w:snapToGrid w:val="0"/>
        <w:rPr>
          <w:rFonts w:ascii="Arial" w:eastAsia="新細明體" w:hAnsi="Arial" w:cs="Arial"/>
          <w:kern w:val="0"/>
          <w:szCs w:val="24"/>
        </w:rPr>
      </w:pPr>
      <w:r w:rsidRPr="00546D85">
        <w:rPr>
          <w:rFonts w:ascii="Arial" w:eastAsia="新細明體" w:hAnsi="Arial" w:cs="Arial"/>
          <w:b/>
          <w:bCs/>
          <w:kern w:val="0"/>
          <w:szCs w:val="24"/>
        </w:rPr>
        <w:t>Methods:</w:t>
      </w:r>
      <w:r w:rsidRPr="00546D85">
        <w:rPr>
          <w:rFonts w:ascii="Arial" w:eastAsia="新細明體" w:hAnsi="Arial" w:cs="Arial"/>
          <w:kern w:val="0"/>
          <w:szCs w:val="24"/>
        </w:rPr>
        <w:br/>
        <w:t xml:space="preserve">Eight ready-to-eat </w:t>
      </w:r>
      <w:r w:rsidR="006F63F2">
        <w:rPr>
          <w:rFonts w:ascii="Arial" w:eastAsia="新細明體" w:hAnsi="Arial" w:cs="Arial" w:hint="eastAsia"/>
          <w:kern w:val="0"/>
          <w:szCs w:val="24"/>
          <w:lang w:eastAsia="zh-TW"/>
        </w:rPr>
        <w:t>meals from conv</w:t>
      </w:r>
      <w:r w:rsidRPr="00546D85">
        <w:rPr>
          <w:rFonts w:ascii="Arial" w:eastAsia="新細明體" w:hAnsi="Arial" w:cs="Arial"/>
          <w:kern w:val="0"/>
          <w:szCs w:val="24"/>
        </w:rPr>
        <w:t xml:space="preserve">enience store were </w:t>
      </w:r>
      <w:r w:rsidR="00C57796" w:rsidRPr="00546D85">
        <w:rPr>
          <w:rFonts w:ascii="Arial" w:eastAsia="新細明體" w:hAnsi="Arial" w:cs="Arial"/>
          <w:kern w:val="0"/>
          <w:szCs w:val="24"/>
        </w:rPr>
        <w:t>analysed</w:t>
      </w:r>
      <w:r w:rsidRPr="00546D85">
        <w:rPr>
          <w:rFonts w:ascii="Arial" w:eastAsia="新細明體" w:hAnsi="Arial" w:cs="Arial"/>
          <w:kern w:val="0"/>
          <w:szCs w:val="24"/>
        </w:rPr>
        <w:t xml:space="preserve">. Three clinical dietitians independently estimated the </w:t>
      </w:r>
      <w:r w:rsidR="006F63F2">
        <w:rPr>
          <w:rFonts w:ascii="Arial" w:eastAsia="新細明體" w:hAnsi="Arial" w:cs="Arial" w:hint="eastAsia"/>
          <w:kern w:val="0"/>
          <w:szCs w:val="24"/>
          <w:lang w:eastAsia="zh-TW"/>
        </w:rPr>
        <w:t>calories</w:t>
      </w:r>
      <w:r w:rsidRPr="00546D85">
        <w:rPr>
          <w:rFonts w:ascii="Arial" w:eastAsia="新細明體" w:hAnsi="Arial" w:cs="Arial"/>
          <w:kern w:val="0"/>
          <w:szCs w:val="24"/>
        </w:rPr>
        <w:t xml:space="preserve">, macronutrients, and sodium content </w:t>
      </w:r>
      <w:r w:rsidR="006F63F2">
        <w:rPr>
          <w:rFonts w:ascii="Arial" w:eastAsia="新細明體" w:hAnsi="Arial" w:cs="Arial" w:hint="eastAsia"/>
          <w:kern w:val="0"/>
          <w:szCs w:val="24"/>
          <w:lang w:eastAsia="zh-TW"/>
        </w:rPr>
        <w:t xml:space="preserve">of meals </w:t>
      </w:r>
      <w:r w:rsidRPr="00546D85">
        <w:rPr>
          <w:rFonts w:ascii="Arial" w:eastAsia="新細明體" w:hAnsi="Arial" w:cs="Arial"/>
          <w:kern w:val="0"/>
          <w:szCs w:val="24"/>
        </w:rPr>
        <w:t>based on measured food weights. Five AI chatbots</w:t>
      </w:r>
      <w:r w:rsidRPr="00546D85">
        <w:rPr>
          <w:rFonts w:ascii="Arial" w:eastAsia="新細明體" w:hAnsi="Arial" w:cs="Arial"/>
          <w:kern w:val="0"/>
          <w:szCs w:val="24"/>
          <w:lang w:eastAsia="zh-TW"/>
        </w:rPr>
        <w:t xml:space="preserve"> (ChatGPT, Claude, Gemini, Grok, and Copilot)</w:t>
      </w:r>
      <w:r w:rsidRPr="00546D85">
        <w:rPr>
          <w:rFonts w:ascii="Arial" w:eastAsia="新細明體" w:hAnsi="Arial" w:cs="Arial"/>
          <w:kern w:val="0"/>
          <w:szCs w:val="24"/>
        </w:rPr>
        <w:t xml:space="preserve"> were queried multiple times with identical input prompts to assess intra- and inter-assay variability. All results were compared to the official nutrition labels to quantify discrepancies and cross-model consistency.</w:t>
      </w:r>
    </w:p>
    <w:p w14:paraId="056D0AF5" w14:textId="5F40A642" w:rsidR="00546D85" w:rsidRPr="00546D85" w:rsidRDefault="00546D85" w:rsidP="00546D85">
      <w:pPr>
        <w:adjustRightInd w:val="0"/>
        <w:snapToGrid w:val="0"/>
        <w:rPr>
          <w:rFonts w:ascii="Arial" w:eastAsia="新細明體" w:hAnsi="Arial" w:cs="Arial"/>
          <w:kern w:val="0"/>
          <w:szCs w:val="24"/>
        </w:rPr>
      </w:pPr>
      <w:r w:rsidRPr="00546D85">
        <w:rPr>
          <w:rFonts w:ascii="Arial" w:eastAsia="新細明體" w:hAnsi="Arial" w:cs="Arial"/>
          <w:b/>
          <w:bCs/>
          <w:kern w:val="0"/>
          <w:szCs w:val="24"/>
        </w:rPr>
        <w:t>Results:</w:t>
      </w:r>
      <w:r w:rsidRPr="00546D85">
        <w:rPr>
          <w:rFonts w:ascii="Arial" w:eastAsia="新細明體" w:hAnsi="Arial" w:cs="Arial"/>
          <w:kern w:val="0"/>
          <w:szCs w:val="24"/>
        </w:rPr>
        <w:br/>
        <w:t>Dietitian</w:t>
      </w:r>
      <w:r w:rsidR="006F63F2">
        <w:rPr>
          <w:rFonts w:ascii="Arial" w:eastAsia="新細明體" w:hAnsi="Arial" w:cs="Arial" w:hint="eastAsia"/>
          <w:kern w:val="0"/>
          <w:szCs w:val="24"/>
          <w:lang w:eastAsia="zh-TW"/>
        </w:rPr>
        <w:t>s</w:t>
      </w:r>
      <w:r w:rsidR="006F63F2">
        <w:rPr>
          <w:rFonts w:ascii="Arial" w:eastAsia="新細明體" w:hAnsi="Arial" w:cs="Arial"/>
          <w:kern w:val="0"/>
          <w:szCs w:val="24"/>
          <w:lang w:eastAsia="zh-TW"/>
        </w:rPr>
        <w:t>’</w:t>
      </w:r>
      <w:r w:rsidRPr="00546D85">
        <w:rPr>
          <w:rFonts w:ascii="Arial" w:eastAsia="新細明體" w:hAnsi="Arial" w:cs="Arial"/>
          <w:kern w:val="0"/>
          <w:szCs w:val="24"/>
        </w:rPr>
        <w:t xml:space="preserve"> estimations showed strong internal consistency (CV mostly &lt;15%), except for dietary </w:t>
      </w:r>
      <w:r w:rsidR="00C57796" w:rsidRPr="00546D85">
        <w:rPr>
          <w:rFonts w:ascii="Arial" w:eastAsia="新細明體" w:hAnsi="Arial" w:cs="Arial"/>
          <w:kern w:val="0"/>
          <w:szCs w:val="24"/>
        </w:rPr>
        <w:t>fibre</w:t>
      </w:r>
      <w:r w:rsidRPr="00546D85">
        <w:rPr>
          <w:rFonts w:ascii="Arial" w:eastAsia="新細明體" w:hAnsi="Arial" w:cs="Arial"/>
          <w:kern w:val="0"/>
          <w:szCs w:val="24"/>
        </w:rPr>
        <w:t xml:space="preserve"> and sodium (CVs up to 101% and 77%, respectively). Among AI models, ChatGPT showed relatively consistent calori</w:t>
      </w:r>
      <w:r w:rsidR="006F63F2">
        <w:rPr>
          <w:rFonts w:ascii="Arial" w:eastAsia="新細明體" w:hAnsi="Arial" w:cs="Arial" w:hint="eastAsia"/>
          <w:kern w:val="0"/>
          <w:szCs w:val="24"/>
          <w:lang w:eastAsia="zh-TW"/>
        </w:rPr>
        <w:t>e</w:t>
      </w:r>
      <w:r w:rsidRPr="00546D85">
        <w:rPr>
          <w:rFonts w:ascii="Arial" w:eastAsia="新細明體" w:hAnsi="Arial" w:cs="Arial"/>
          <w:kern w:val="0"/>
          <w:szCs w:val="24"/>
        </w:rPr>
        <w:t xml:space="preserve"> and carbohydrate estimates (CV &lt;15%), but frequent over- or underestimation of protein and sodium. Sodium values were consistently underestimated across all AI models, with CVs ranging from 30% to 80%. Cross-model variability in predicted nutrient values was substantial. Literature review suggests </w:t>
      </w:r>
      <w:r w:rsidR="00823C23" w:rsidRPr="00823C23">
        <w:rPr>
          <w:rFonts w:ascii="Arial" w:eastAsia="新細明體" w:hAnsi="Arial" w:cs="Arial"/>
          <w:kern w:val="0"/>
          <w:szCs w:val="24"/>
        </w:rPr>
        <w:t>ChatGPT</w:t>
      </w:r>
      <w:r w:rsidRPr="00546D85">
        <w:rPr>
          <w:rFonts w:ascii="Arial" w:eastAsia="新細明體" w:hAnsi="Arial" w:cs="Arial"/>
          <w:kern w:val="0"/>
          <w:szCs w:val="24"/>
        </w:rPr>
        <w:t>-4</w:t>
      </w:r>
      <w:r w:rsidR="00823C23">
        <w:rPr>
          <w:rFonts w:ascii="Arial" w:eastAsia="新細明體" w:hAnsi="Arial" w:cs="Arial" w:hint="eastAsia"/>
          <w:kern w:val="0"/>
          <w:szCs w:val="24"/>
          <w:lang w:eastAsia="zh-TW"/>
        </w:rPr>
        <w:t>.o</w:t>
      </w:r>
      <w:r w:rsidRPr="00546D85">
        <w:rPr>
          <w:rFonts w:ascii="Arial" w:eastAsia="新細明體" w:hAnsi="Arial" w:cs="Arial"/>
          <w:kern w:val="0"/>
          <w:szCs w:val="24"/>
        </w:rPr>
        <w:t xml:space="preserve"> outperforms peers in calorie and potassium-related estimations but remains suboptimal in micronutrient prediction.</w:t>
      </w:r>
    </w:p>
    <w:p w14:paraId="7FA99D4B" w14:textId="42AD75C2" w:rsidR="00546D85" w:rsidRPr="00546D85" w:rsidRDefault="00823C23" w:rsidP="00546D85">
      <w:pPr>
        <w:adjustRightInd w:val="0"/>
        <w:snapToGrid w:val="0"/>
        <w:rPr>
          <w:rFonts w:ascii="Arial" w:eastAsia="新細明體" w:hAnsi="Arial" w:cs="Arial"/>
          <w:kern w:val="0"/>
          <w:szCs w:val="24"/>
        </w:rPr>
      </w:pPr>
      <w:r w:rsidRPr="00A875BB">
        <w:rPr>
          <w:rFonts w:ascii="Arial" w:hAnsi="Arial" w:cs="Arial"/>
          <w:b/>
          <w:bCs/>
          <w:lang w:val="en-GB"/>
        </w:rPr>
        <w:t>Discussion/Conclusion</w:t>
      </w:r>
      <w:r w:rsidR="00546D85" w:rsidRPr="00546D85">
        <w:rPr>
          <w:rFonts w:ascii="Arial" w:eastAsia="新細明體" w:hAnsi="Arial" w:cs="Arial"/>
          <w:b/>
          <w:bCs/>
          <w:kern w:val="0"/>
          <w:szCs w:val="24"/>
        </w:rPr>
        <w:t>:</w:t>
      </w:r>
      <w:r w:rsidR="00546D85" w:rsidRPr="00546D85">
        <w:rPr>
          <w:rFonts w:ascii="Arial" w:eastAsia="新細明體" w:hAnsi="Arial" w:cs="Arial"/>
          <w:kern w:val="0"/>
          <w:szCs w:val="24"/>
        </w:rPr>
        <w:br/>
        <w:t>Current AI chat models provide rapid estimates for basic nutrients and can aid public education or preliminary assessment. However, they lack the precision and consistency required for clinical nutrition management, particularly in p</w:t>
      </w:r>
      <w:r>
        <w:rPr>
          <w:rFonts w:ascii="Arial" w:eastAsia="新細明體" w:hAnsi="Arial" w:cs="Arial" w:hint="eastAsia"/>
          <w:kern w:val="0"/>
          <w:szCs w:val="24"/>
          <w:lang w:eastAsia="zh-TW"/>
        </w:rPr>
        <w:t>erson</w:t>
      </w:r>
      <w:r w:rsidR="00546D85" w:rsidRPr="00546D85">
        <w:rPr>
          <w:rFonts w:ascii="Arial" w:eastAsia="新細明體" w:hAnsi="Arial" w:cs="Arial"/>
          <w:kern w:val="0"/>
          <w:szCs w:val="24"/>
        </w:rPr>
        <w:t xml:space="preserve">s with diabetes or CKD who demand strict control over sodium and protein intake. Professional dietitian oversight remains essential for safe and personalized </w:t>
      </w:r>
      <w:r w:rsidR="006F63F2">
        <w:rPr>
          <w:rFonts w:ascii="Arial" w:eastAsia="新細明體" w:hAnsi="Arial" w:cs="Arial" w:hint="eastAsia"/>
          <w:kern w:val="0"/>
          <w:szCs w:val="24"/>
          <w:lang w:eastAsia="zh-TW"/>
        </w:rPr>
        <w:t>meal</w:t>
      </w:r>
      <w:r w:rsidR="00546D85" w:rsidRPr="00546D85">
        <w:rPr>
          <w:rFonts w:ascii="Arial" w:eastAsia="新細明體" w:hAnsi="Arial" w:cs="Arial"/>
          <w:kern w:val="0"/>
          <w:szCs w:val="24"/>
        </w:rPr>
        <w:t xml:space="preserve"> planning.</w:t>
      </w:r>
    </w:p>
    <w:p w14:paraId="6E976206" w14:textId="77777777" w:rsidR="001C4412" w:rsidRPr="00546D85" w:rsidRDefault="001C4412">
      <w:pPr>
        <w:rPr>
          <w:rFonts w:ascii="Arial" w:hAnsi="Arial" w:cs="Arial"/>
          <w:b/>
          <w:bCs/>
        </w:rPr>
      </w:pPr>
    </w:p>
    <w:p w14:paraId="322F27A1" w14:textId="5BCC1616" w:rsidR="001C4412" w:rsidRPr="00EB2E8D" w:rsidRDefault="001C4412">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31947" w14:textId="77777777" w:rsidR="00AB3D74" w:rsidRDefault="00AB3D74" w:rsidP="00546D85">
      <w:r>
        <w:separator/>
      </w:r>
    </w:p>
  </w:endnote>
  <w:endnote w:type="continuationSeparator" w:id="0">
    <w:p w14:paraId="7338E84D" w14:textId="77777777" w:rsidR="00AB3D74" w:rsidRDefault="00AB3D74" w:rsidP="0054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altName w:val="Calibri"/>
    <w:panose1 w:val="00000000000000000000"/>
    <w:charset w:val="00"/>
    <w:family w:val="modern"/>
    <w:notTrueType/>
    <w:pitch w:val="variable"/>
    <w:sig w:usb0="00000007" w:usb1="00000000" w:usb2="00000000" w:usb3="00000000" w:csb0="00000093"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8B3DD" w14:textId="77777777" w:rsidR="00AB3D74" w:rsidRDefault="00AB3D74" w:rsidP="00546D85">
      <w:r>
        <w:separator/>
      </w:r>
    </w:p>
  </w:footnote>
  <w:footnote w:type="continuationSeparator" w:id="0">
    <w:p w14:paraId="5E1014C9" w14:textId="77777777" w:rsidR="00AB3D74" w:rsidRDefault="00AB3D74" w:rsidP="00546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65D27"/>
    <w:rsid w:val="0018500F"/>
    <w:rsid w:val="001C4412"/>
    <w:rsid w:val="002F6D99"/>
    <w:rsid w:val="00332CC6"/>
    <w:rsid w:val="0044302B"/>
    <w:rsid w:val="00546D85"/>
    <w:rsid w:val="005B22F4"/>
    <w:rsid w:val="005C6AA0"/>
    <w:rsid w:val="006F63F2"/>
    <w:rsid w:val="007C6E7C"/>
    <w:rsid w:val="00823C23"/>
    <w:rsid w:val="00885D32"/>
    <w:rsid w:val="008B6793"/>
    <w:rsid w:val="00A37AE7"/>
    <w:rsid w:val="00AB3D74"/>
    <w:rsid w:val="00AF284A"/>
    <w:rsid w:val="00C57796"/>
    <w:rsid w:val="00DA231D"/>
    <w:rsid w:val="00E1559D"/>
    <w:rsid w:val="00EB2E8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EastAsia"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412"/>
  </w:style>
  <w:style w:type="paragraph" w:styleId="1">
    <w:name w:val="heading 1"/>
    <w:basedOn w:val="a"/>
    <w:next w:val="a"/>
    <w:link w:val="10"/>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C4412"/>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40">
    <w:name w:val="標題 4 字元"/>
    <w:basedOn w:val="a0"/>
    <w:link w:val="4"/>
    <w:uiPriority w:val="9"/>
    <w:semiHidden/>
    <w:rsid w:val="001C4412"/>
    <w:rPr>
      <w:rFonts w:asciiTheme="minorHAnsi" w:eastAsiaTheme="majorEastAsia" w:hAnsiTheme="minorHAnsi" w:cstheme="majorBidi"/>
      <w:i/>
      <w:iCs/>
      <w:color w:val="0F4761" w:themeColor="accent1" w:themeShade="BF"/>
    </w:rPr>
  </w:style>
  <w:style w:type="character" w:customStyle="1" w:styleId="50">
    <w:name w:val="標題 5 字元"/>
    <w:basedOn w:val="a0"/>
    <w:link w:val="5"/>
    <w:uiPriority w:val="9"/>
    <w:semiHidden/>
    <w:rsid w:val="001C4412"/>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1C4412"/>
    <w:rPr>
      <w:rFonts w:asciiTheme="minorHAnsi" w:eastAsiaTheme="majorEastAsia" w:hAnsiTheme="minorHAnsi" w:cstheme="majorBidi"/>
      <w:i/>
      <w:iCs/>
      <w:color w:val="595959" w:themeColor="text1" w:themeTint="A6"/>
    </w:rPr>
  </w:style>
  <w:style w:type="character" w:customStyle="1" w:styleId="70">
    <w:name w:val="標題 7 字元"/>
    <w:basedOn w:val="a0"/>
    <w:link w:val="7"/>
    <w:uiPriority w:val="9"/>
    <w:semiHidden/>
    <w:rsid w:val="001C4412"/>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1C4412"/>
    <w:rPr>
      <w:rFonts w:asciiTheme="minorHAnsi" w:eastAsiaTheme="majorEastAsia" w:hAnsiTheme="minorHAnsi" w:cstheme="majorBidi"/>
      <w:i/>
      <w:iCs/>
      <w:color w:val="272727" w:themeColor="text1" w:themeTint="D8"/>
    </w:rPr>
  </w:style>
  <w:style w:type="character" w:customStyle="1" w:styleId="90">
    <w:name w:val="標題 9 字元"/>
    <w:basedOn w:val="a0"/>
    <w:link w:val="9"/>
    <w:uiPriority w:val="9"/>
    <w:semiHidden/>
    <w:rsid w:val="001C441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C4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副標題 字元"/>
    <w:basedOn w:val="a0"/>
    <w:link w:val="a5"/>
    <w:uiPriority w:val="11"/>
    <w:rsid w:val="001C441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C4412"/>
    <w:pPr>
      <w:spacing w:before="160" w:after="160"/>
      <w:jc w:val="center"/>
    </w:pPr>
    <w:rPr>
      <w:i/>
      <w:iCs/>
      <w:color w:val="404040" w:themeColor="text1" w:themeTint="BF"/>
    </w:rPr>
  </w:style>
  <w:style w:type="character" w:customStyle="1" w:styleId="a8">
    <w:name w:val="引文 字元"/>
    <w:basedOn w:val="a0"/>
    <w:link w:val="a7"/>
    <w:uiPriority w:val="29"/>
    <w:rsid w:val="001C4412"/>
    <w:rPr>
      <w:i/>
      <w:iCs/>
      <w:color w:val="404040" w:themeColor="text1" w:themeTint="BF"/>
    </w:rPr>
  </w:style>
  <w:style w:type="paragraph" w:styleId="a9">
    <w:name w:val="List Paragraph"/>
    <w:basedOn w:val="a"/>
    <w:uiPriority w:val="34"/>
    <w:qFormat/>
    <w:rsid w:val="001C4412"/>
    <w:pPr>
      <w:ind w:left="720"/>
      <w:contextualSpacing/>
    </w:pPr>
  </w:style>
  <w:style w:type="character" w:styleId="aa">
    <w:name w:val="Intense Emphasis"/>
    <w:basedOn w:val="a0"/>
    <w:uiPriority w:val="21"/>
    <w:qFormat/>
    <w:rsid w:val="001C4412"/>
    <w:rPr>
      <w:i/>
      <w:iCs/>
      <w:color w:val="0F4761" w:themeColor="accent1" w:themeShade="BF"/>
    </w:rPr>
  </w:style>
  <w:style w:type="paragraph" w:styleId="ab">
    <w:name w:val="Intense Quote"/>
    <w:basedOn w:val="a"/>
    <w:next w:val="a"/>
    <w:link w:val="ac"/>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C4412"/>
    <w:rPr>
      <w:i/>
      <w:iCs/>
      <w:color w:val="0F4761" w:themeColor="accent1" w:themeShade="BF"/>
    </w:rPr>
  </w:style>
  <w:style w:type="character" w:styleId="ad">
    <w:name w:val="Intense Reference"/>
    <w:basedOn w:val="a0"/>
    <w:uiPriority w:val="32"/>
    <w:qFormat/>
    <w:rsid w:val="001C4412"/>
    <w:rPr>
      <w:b/>
      <w:bCs/>
      <w:smallCaps/>
      <w:color w:val="0F4761" w:themeColor="accent1" w:themeShade="BF"/>
      <w:spacing w:val="5"/>
    </w:rPr>
  </w:style>
  <w:style w:type="table" w:styleId="ae">
    <w:name w:val="Table Grid"/>
    <w:basedOn w:val="a1"/>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46D85"/>
    <w:pPr>
      <w:tabs>
        <w:tab w:val="center" w:pos="4153"/>
        <w:tab w:val="right" w:pos="8306"/>
      </w:tabs>
      <w:snapToGrid w:val="0"/>
    </w:pPr>
    <w:rPr>
      <w:sz w:val="20"/>
      <w:szCs w:val="20"/>
    </w:rPr>
  </w:style>
  <w:style w:type="character" w:customStyle="1" w:styleId="af0">
    <w:name w:val="頁首 字元"/>
    <w:basedOn w:val="a0"/>
    <w:link w:val="af"/>
    <w:uiPriority w:val="99"/>
    <w:rsid w:val="00546D85"/>
    <w:rPr>
      <w:sz w:val="20"/>
      <w:szCs w:val="20"/>
    </w:rPr>
  </w:style>
  <w:style w:type="paragraph" w:styleId="af1">
    <w:name w:val="footer"/>
    <w:basedOn w:val="a"/>
    <w:link w:val="af2"/>
    <w:uiPriority w:val="99"/>
    <w:unhideWhenUsed/>
    <w:rsid w:val="00546D85"/>
    <w:pPr>
      <w:tabs>
        <w:tab w:val="center" w:pos="4153"/>
        <w:tab w:val="right" w:pos="8306"/>
      </w:tabs>
      <w:snapToGrid w:val="0"/>
    </w:pPr>
    <w:rPr>
      <w:sz w:val="20"/>
      <w:szCs w:val="20"/>
    </w:rPr>
  </w:style>
  <w:style w:type="character" w:customStyle="1" w:styleId="af2">
    <w:name w:val="頁尾 字元"/>
    <w:basedOn w:val="a0"/>
    <w:link w:val="af1"/>
    <w:uiPriority w:val="99"/>
    <w:rsid w:val="00546D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F72848-5B90-44E6-B3BF-E05903EBEAF1}">
  <ds:schemaRefs>
    <ds:schemaRef ds:uri="http://schemas.openxmlformats.org/officeDocument/2006/bibliography"/>
  </ds:schemaRefs>
</ds:datastoreItem>
</file>

<file path=customXml/itemProps2.xml><?xml version="1.0" encoding="utf-8"?>
<ds:datastoreItem xmlns:ds="http://schemas.openxmlformats.org/officeDocument/2006/customXml" ds:itemID="{7F4B79BC-2C88-4887-8454-B156C3F8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4.xml><?xml version="1.0" encoding="utf-8"?>
<ds:datastoreItem xmlns:ds="http://schemas.openxmlformats.org/officeDocument/2006/customXml" ds:itemID="{F9BBD093-B476-4651-92E2-085A4BCA4E11}">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user</cp:lastModifiedBy>
  <cp:revision>11</cp:revision>
  <dcterms:created xsi:type="dcterms:W3CDTF">2025-05-11T11:56:00Z</dcterms:created>
  <dcterms:modified xsi:type="dcterms:W3CDTF">2025-05-20T03:55:00Z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