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9867" w14:textId="77777777" w:rsidR="00CB3B2C" w:rsidRDefault="00CB3B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CB3B2C" w14:paraId="1BE879D2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19598FA5" w14:textId="3D7C6BC5" w:rsidR="00CB3B2C" w:rsidRDefault="00DD7A28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D7A28">
              <w:rPr>
                <w:rFonts w:ascii="Arial" w:eastAsia="Arial" w:hAnsi="Arial" w:cs="Arial"/>
                <w:b/>
                <w:sz w:val="22"/>
                <w:szCs w:val="22"/>
              </w:rPr>
              <w:t>End-tidal carbon dioxide in asthma severity assessment: A systematic review</w:t>
            </w:r>
          </w:p>
        </w:tc>
      </w:tr>
      <w:tr w:rsidR="00CB3B2C" w14:paraId="5C8A78D2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40962EB4" w14:textId="77777777" w:rsidR="00CB3B2C" w:rsidRDefault="0000000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Sanjay Farshid,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Benjamin C Buckland,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Selvanaayagam Shanmuganathan,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3,4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Gary KK Low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1,5</w:t>
            </w:r>
          </w:p>
        </w:tc>
      </w:tr>
      <w:tr w:rsidR="00CB3B2C" w14:paraId="380A46F1" w14:textId="77777777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749EA6D" w14:textId="152EA060" w:rsidR="00CB3B2C" w:rsidRDefault="00000000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1</w:t>
            </w:r>
            <w:r w:rsidR="002F57D0" w:rsidRPr="002F57D0">
              <w:rPr>
                <w:rFonts w:ascii="Arial" w:eastAsia="Arial" w:hAnsi="Arial" w:cs="Arial"/>
                <w:i/>
                <w:sz w:val="22"/>
                <w:szCs w:val="22"/>
              </w:rPr>
              <w:t>Sydney Medical School, Faculty of Medicine and Health, University of Sydney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NSW, Australia</w:t>
            </w:r>
          </w:p>
          <w:p w14:paraId="79B34524" w14:textId="77777777" w:rsidR="00CB3B2C" w:rsidRDefault="00000000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School of Medicine and Public Health, University of Newcastle, NSW, Australia</w:t>
            </w:r>
          </w:p>
          <w:p w14:paraId="6D706558" w14:textId="77777777" w:rsidR="00CB3B2C" w:rsidRDefault="00000000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Menzies Centre for Health Policy and Economics, The University of Sydney, NSW, Australia</w:t>
            </w:r>
          </w:p>
          <w:p w14:paraId="0BECD722" w14:textId="77777777" w:rsidR="00CB3B2C" w:rsidRDefault="00000000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4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Ministry of Health, Malaysia</w:t>
            </w:r>
          </w:p>
          <w:p w14:paraId="1805F810" w14:textId="5D89BCD5" w:rsidR="00CB3B2C" w:rsidRDefault="00000000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5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Research Directorate, Nepean Blue Mountain</w:t>
            </w:r>
            <w:r w:rsidR="001C3A43"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Local Health District, NSW, Australia</w:t>
            </w:r>
          </w:p>
        </w:tc>
      </w:tr>
      <w:tr w:rsidR="00CB3B2C" w14:paraId="004E539A" w14:textId="77777777" w:rsidTr="00D059FD">
        <w:trPr>
          <w:trHeight w:val="8694"/>
          <w:jc w:val="center"/>
        </w:trPr>
        <w:tc>
          <w:tcPr>
            <w:tcW w:w="8640" w:type="dxa"/>
            <w:shd w:val="clear" w:color="auto" w:fill="auto"/>
          </w:tcPr>
          <w:p w14:paraId="7D50702D" w14:textId="77777777" w:rsidR="00CB3B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Introduction/Aim: </w:t>
            </w:r>
          </w:p>
          <w:p w14:paraId="11EC6C61" w14:textId="1989463B" w:rsidR="00CB3B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Accurate</w:t>
            </w:r>
            <w:r w:rsidR="00A967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severity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assessment of acute asthma exacerbations is vital to guide management and disposition of the patient. End-tidal carbon dioxide (EtCO2) has been proposed as a real-time measure </w:t>
            </w:r>
            <w:r w:rsidR="00A967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 this purpose.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This study aim</w:t>
            </w:r>
            <w:r w:rsidR="00A96783">
              <w:rPr>
                <w:rFonts w:ascii="Arial" w:eastAsia="Arial" w:hAnsi="Arial" w:cs="Arial"/>
                <w:color w:val="000000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to </w:t>
            </w:r>
            <w:r w:rsidR="00A967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systematically review literature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 EtCO2 measurement </w:t>
            </w:r>
            <w:r w:rsidR="00A967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assess</w:t>
            </w:r>
            <w:r w:rsidR="00A96783">
              <w:rPr>
                <w:rFonts w:ascii="Arial" w:eastAsia="Arial" w:hAnsi="Arial" w:cs="Arial"/>
                <w:color w:val="000000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severity of 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acute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asthma exacerbations.</w:t>
            </w:r>
          </w:p>
          <w:p w14:paraId="36068CCC" w14:textId="77777777" w:rsidR="00CB3B2C" w:rsidRDefault="00CB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454337E" w14:textId="77777777" w:rsidR="00CB3B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Methods: </w:t>
            </w:r>
          </w:p>
          <w:p w14:paraId="1D484A42" w14:textId="39FED98B" w:rsidR="00CB3B2C" w:rsidRDefault="00A9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Electronic searches were conducted in 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ive databases </w:t>
            </w:r>
            <w:r w:rsidR="00F13A56">
              <w:rPr>
                <w:rFonts w:ascii="Arial" w:eastAsia="Arial" w:hAnsi="Arial" w:cs="Arial"/>
                <w:color w:val="000000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literature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related to asthma and EtCO2, capnography or capnometry (PROSPERO CRD42022366536). Studies o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patients of 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age with acute asthma exacerbations 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 least one clinical outcome measure were included. Studies o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intubated patients and outpatients were excluded. Two 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independent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reviewers screened abstracts, then </w:t>
            </w:r>
            <w:r w:rsidR="00134AEB">
              <w:rPr>
                <w:rFonts w:ascii="Arial" w:eastAsia="Arial" w:hAnsi="Arial" w:cs="Arial"/>
                <w:color w:val="000000"/>
                <w:sz w:val="22"/>
                <w:szCs w:val="22"/>
              </w:rPr>
              <w:t>full texts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</w:t>
            </w:r>
            <w:r w:rsidR="000B286D">
              <w:rPr>
                <w:rFonts w:ascii="Arial" w:eastAsia="Arial" w:hAnsi="Arial" w:cs="Arial"/>
                <w:color w:val="000000"/>
                <w:sz w:val="22"/>
                <w:szCs w:val="22"/>
              </w:rPr>
              <w:t>eligibility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79558583" w14:textId="77777777" w:rsidR="00CB3B2C" w:rsidRDefault="00CB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EFF3FD" w14:textId="77777777" w:rsidR="00CB3B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Results: </w:t>
            </w:r>
          </w:p>
          <w:p w14:paraId="7070256C" w14:textId="5F8EBCAE" w:rsidR="00CB3B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database searches identified 1242 records and 11 studies were included in the review. </w:t>
            </w:r>
            <w:r w:rsidR="001A5216">
              <w:rPr>
                <w:rFonts w:ascii="Arial" w:eastAsia="Arial" w:hAnsi="Arial" w:cs="Arial"/>
                <w:color w:val="000000"/>
                <w:sz w:val="22"/>
                <w:szCs w:val="22"/>
              </w:rPr>
              <w:t>8/11 (73%) of studies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had high risk of bias in patient selection, with most using convenience sampling. Five studies assessed the predictive power of EtCO2 for determining admission or discharge from the emergency department. </w:t>
            </w:r>
            <w:r w:rsidR="00037DB1">
              <w:rPr>
                <w:rFonts w:ascii="Arial" w:eastAsia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atients with lower initial EtCO2 </w:t>
            </w:r>
            <w:r w:rsidR="00037DB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more likely to require hospital </w:t>
            </w:r>
            <w:r w:rsidR="001A521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admission, </w:t>
            </w:r>
            <w:r w:rsidR="00394AF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and this result was significant in </w:t>
            </w:r>
            <w:r w:rsidR="00585AD3">
              <w:rPr>
                <w:rFonts w:ascii="Arial" w:eastAsia="Arial" w:hAnsi="Arial" w:cs="Arial"/>
                <w:color w:val="000000"/>
                <w:sz w:val="22"/>
                <w:szCs w:val="22"/>
              </w:rPr>
              <w:t>two</w:t>
            </w:r>
            <w:r w:rsidR="00394AF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of these studies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Other components of the capnograph waveform were associated with disposition,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including</w:t>
            </w:r>
            <w:r w:rsidR="00134A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larger initial alpha angle and </w:t>
            </w:r>
            <w:r w:rsidR="00134A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lower ratio between phase III duration and respiratory rate being associated with hospital admission. Four studies reported correlations between EtCO2 and other markers of airway obstruction such as PEF, with </w:t>
            </w:r>
            <w:r w:rsidR="00D274E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correlations between 0.2 and 0.4 </w:t>
            </w:r>
            <w:r w:rsidR="008C7DE6">
              <w:rPr>
                <w:rFonts w:ascii="Arial" w:eastAsia="Arial" w:hAnsi="Arial" w:cs="Arial"/>
                <w:color w:val="000000"/>
                <w:sz w:val="22"/>
                <w:szCs w:val="22"/>
              </w:rPr>
              <w:t>reported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Three studies </w:t>
            </w:r>
            <w:r w:rsidR="006E244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reported </w:t>
            </w:r>
            <w:r w:rsidR="004318F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change </w:t>
            </w:r>
            <w:r w:rsidR="006E244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EtCO2 and other capnography measures after treatment.</w:t>
            </w:r>
          </w:p>
          <w:p w14:paraId="19588B62" w14:textId="77777777" w:rsidR="00CB3B2C" w:rsidRDefault="00CB3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4E7FED9" w14:textId="77777777" w:rsidR="00CB3B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Conclusion: </w:t>
            </w:r>
          </w:p>
          <w:p w14:paraId="4C58A8BE" w14:textId="7F76F62B" w:rsidR="00CB3B2C" w:rsidRDefault="00000000" w:rsidP="0060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Lower EtCO2 may predict poorer outcome in acute asthma exacerbation. Certain</w:t>
            </w:r>
            <w:r w:rsidR="006E61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other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measures taken from the capnography waveform appear to </w:t>
            </w:r>
            <w:r w:rsidR="006E61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useful indicators of severity.</w:t>
            </w:r>
            <w:r w:rsidR="004A224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EE1C8F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="000030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ddressing patient selection </w:t>
            </w:r>
            <w:r w:rsidR="003772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issues </w:t>
            </w:r>
            <w:r w:rsidR="0000305B">
              <w:rPr>
                <w:rFonts w:ascii="Arial" w:eastAsia="Arial" w:hAnsi="Arial" w:cs="Arial"/>
                <w:color w:val="000000"/>
                <w:sz w:val="22"/>
                <w:szCs w:val="22"/>
              </w:rPr>
              <w:t>and conduct</w:t>
            </w:r>
            <w:r w:rsidR="00523EF7">
              <w:rPr>
                <w:rFonts w:ascii="Arial" w:eastAsia="Arial" w:hAnsi="Arial" w:cs="Arial"/>
                <w:color w:val="000000"/>
                <w:sz w:val="22"/>
                <w:szCs w:val="22"/>
              </w:rPr>
              <w:t>ing</w:t>
            </w:r>
            <w:r w:rsidR="000030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E3344D">
              <w:rPr>
                <w:rFonts w:ascii="Arial" w:eastAsia="Arial" w:hAnsi="Arial" w:cs="Arial"/>
                <w:color w:val="000000"/>
                <w:sz w:val="22"/>
                <w:szCs w:val="22"/>
              </w:rPr>
              <w:t>prognostic</w:t>
            </w:r>
            <w:r w:rsidR="000030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accuracy studies o</w:t>
            </w:r>
            <w:r w:rsidR="000F0CEF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="000030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EtCO2 against other conventional biomarker may provide meaningful evidence </w:t>
            </w:r>
            <w:r w:rsidR="003772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 clinical </w:t>
            </w:r>
            <w:r w:rsidR="0000305B">
              <w:rPr>
                <w:rFonts w:ascii="Arial" w:eastAsia="Arial" w:hAnsi="Arial" w:cs="Arial"/>
                <w:color w:val="000000"/>
                <w:sz w:val="22"/>
                <w:szCs w:val="22"/>
              </w:rPr>
              <w:t>practice.</w:t>
            </w:r>
          </w:p>
        </w:tc>
      </w:tr>
    </w:tbl>
    <w:p w14:paraId="57E9E581" w14:textId="77777777" w:rsidR="00CB3B2C" w:rsidRDefault="00CB3B2C"/>
    <w:sectPr w:rsidR="00CB3B2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2C"/>
    <w:rsid w:val="0000305B"/>
    <w:rsid w:val="00023187"/>
    <w:rsid w:val="00037DB1"/>
    <w:rsid w:val="0008531C"/>
    <w:rsid w:val="000973B2"/>
    <w:rsid w:val="000B286D"/>
    <w:rsid w:val="000C198E"/>
    <w:rsid w:val="000F0CEF"/>
    <w:rsid w:val="00134AEB"/>
    <w:rsid w:val="001A07F8"/>
    <w:rsid w:val="001A5216"/>
    <w:rsid w:val="001C3A43"/>
    <w:rsid w:val="00213A90"/>
    <w:rsid w:val="002F57D0"/>
    <w:rsid w:val="003772A5"/>
    <w:rsid w:val="00394AFD"/>
    <w:rsid w:val="0039735B"/>
    <w:rsid w:val="003A0070"/>
    <w:rsid w:val="003D44EB"/>
    <w:rsid w:val="004318FC"/>
    <w:rsid w:val="00497460"/>
    <w:rsid w:val="004A218C"/>
    <w:rsid w:val="004A2243"/>
    <w:rsid w:val="004F4EC7"/>
    <w:rsid w:val="00523EF7"/>
    <w:rsid w:val="00530462"/>
    <w:rsid w:val="00560333"/>
    <w:rsid w:val="00585AD3"/>
    <w:rsid w:val="005D3F22"/>
    <w:rsid w:val="005F121C"/>
    <w:rsid w:val="00607B65"/>
    <w:rsid w:val="006E244C"/>
    <w:rsid w:val="006E61DE"/>
    <w:rsid w:val="00772BD6"/>
    <w:rsid w:val="008C7DE6"/>
    <w:rsid w:val="008E3FEE"/>
    <w:rsid w:val="00904249"/>
    <w:rsid w:val="00926263"/>
    <w:rsid w:val="00A96783"/>
    <w:rsid w:val="00AD283F"/>
    <w:rsid w:val="00AE58FD"/>
    <w:rsid w:val="00AF48D5"/>
    <w:rsid w:val="00BF7D7B"/>
    <w:rsid w:val="00CB3B2C"/>
    <w:rsid w:val="00D059FD"/>
    <w:rsid w:val="00D274E4"/>
    <w:rsid w:val="00DC4660"/>
    <w:rsid w:val="00DD7A28"/>
    <w:rsid w:val="00DD7E7C"/>
    <w:rsid w:val="00E3344D"/>
    <w:rsid w:val="00E53899"/>
    <w:rsid w:val="00E55335"/>
    <w:rsid w:val="00E57D8E"/>
    <w:rsid w:val="00E71567"/>
    <w:rsid w:val="00ED18D1"/>
    <w:rsid w:val="00EE1C8F"/>
    <w:rsid w:val="00F1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5111"/>
  <w15:docId w15:val="{01BC4A00-E687-4E58-B52E-EC75E172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NZ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A96783"/>
  </w:style>
  <w:style w:type="character" w:styleId="CommentReference">
    <w:name w:val="annotation reference"/>
    <w:basedOn w:val="DefaultParagraphFont"/>
    <w:uiPriority w:val="99"/>
    <w:semiHidden/>
    <w:unhideWhenUsed/>
    <w:rsid w:val="000B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Low (Nepean Blue Mountains LHD)</dc:creator>
  <cp:lastModifiedBy>Sanjay Farshid (Sydney LHD)</cp:lastModifiedBy>
  <cp:revision>68</cp:revision>
  <dcterms:created xsi:type="dcterms:W3CDTF">2023-10-18T10:02:00Z</dcterms:created>
  <dcterms:modified xsi:type="dcterms:W3CDTF">2023-10-19T06:57:00Z</dcterms:modified>
</cp:coreProperties>
</file>