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86"/>
        <w:tblW w:w="9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2"/>
      </w:tblGrid>
      <w:tr w:rsidR="002B69E8" w:rsidRPr="0050053A" w14:paraId="0645ABB8" w14:textId="77777777" w:rsidTr="002B69E8">
        <w:trPr>
          <w:trHeight w:val="544"/>
        </w:trPr>
        <w:tc>
          <w:tcPr>
            <w:tcW w:w="9522" w:type="dxa"/>
            <w:shd w:val="clear" w:color="auto" w:fill="auto"/>
          </w:tcPr>
          <w:p w14:paraId="6A8EE074" w14:textId="77777777" w:rsidR="002B69E8" w:rsidRPr="002B69E8" w:rsidRDefault="002B69E8" w:rsidP="002B69E8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The tuberculosis lung </w:t>
            </w:r>
            <w:proofErr w:type="spellStart"/>
            <w:r w:rsidRPr="00090231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virome</w:t>
            </w:r>
            <w:proofErr w:type="spellEnd"/>
            <w:r w:rsidRPr="00090231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 </w:t>
            </w:r>
            <w:r w:rsidRPr="002B69E8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of</w:t>
            </w:r>
            <w:r w:rsidRPr="00090231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 18</w:t>
            </w:r>
            <w:r w:rsidRPr="0009023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val="en-AU" w:eastAsia="en-GB"/>
              </w:rPr>
              <w:t>th</w:t>
            </w:r>
            <w:r w:rsidRPr="00090231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 Century mummified </w:t>
            </w:r>
            <w:r w:rsidRPr="002B69E8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 xml:space="preserve">lung </w:t>
            </w:r>
            <w:r w:rsidRPr="00090231">
              <w:rPr>
                <w:rFonts w:ascii="Arial" w:hAnsi="Arial" w:cs="Arial"/>
                <w:b/>
                <w:bCs/>
                <w:sz w:val="22"/>
                <w:szCs w:val="22"/>
                <w:lang w:val="en-AU" w:eastAsia="en-GB"/>
              </w:rPr>
              <w:t>tissue.</w:t>
            </w:r>
          </w:p>
        </w:tc>
      </w:tr>
      <w:tr w:rsidR="002B69E8" w:rsidRPr="0050053A" w14:paraId="63AC30FC" w14:textId="77777777" w:rsidTr="002B69E8">
        <w:trPr>
          <w:trHeight w:val="674"/>
        </w:trPr>
        <w:tc>
          <w:tcPr>
            <w:tcW w:w="9522" w:type="dxa"/>
            <w:shd w:val="clear" w:color="auto" w:fill="auto"/>
          </w:tcPr>
          <w:p w14:paraId="39D962B3" w14:textId="77777777" w:rsidR="002B69E8" w:rsidRPr="002B69E8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proofErr w:type="spellStart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Talya</w:t>
            </w:r>
            <w:proofErr w:type="spellEnd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 xml:space="preserve"> Conradie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1,2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,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Jose</w:t>
            </w:r>
            <w:proofErr w:type="spellEnd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Caparros-Martin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1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, </w:t>
            </w:r>
            <w:proofErr w:type="spellStart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Abhinav</w:t>
            </w:r>
            <w:proofErr w:type="spellEnd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Sharma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3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, Anthony Kicic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1,4,5,6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,</w:t>
            </w:r>
            <w:r w:rsidRPr="00090231">
              <w:rPr>
                <w:rFonts w:ascii="Arial" w:hAnsi="Arial" w:cs="Arial"/>
                <w:sz w:val="22"/>
                <w:szCs w:val="22"/>
                <w:lang w:val="en-AU" w:eastAsia="en-GB"/>
              </w:rPr>
              <w:t xml:space="preserve"> </w:t>
            </w:r>
            <w:proofErr w:type="spellStart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Siobhon</w:t>
            </w:r>
            <w:proofErr w:type="spellEnd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Egan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2,7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, </w:t>
            </w:r>
            <w:proofErr w:type="spellStart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Sulev</w:t>
            </w:r>
            <w:proofErr w:type="spellEnd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Koks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2,8,9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>, Stephen M. Stick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1,4,5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s-ES" w:eastAsia="en-GB"/>
              </w:rPr>
              <w:t xml:space="preserve"> and Patricia Agudelo-Romero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s-ES" w:eastAsia="en-GB"/>
              </w:rPr>
              <w:t>1,10,11</w:t>
            </w:r>
          </w:p>
        </w:tc>
      </w:tr>
      <w:tr w:rsidR="002B69E8" w:rsidRPr="0050053A" w14:paraId="76670118" w14:textId="77777777" w:rsidTr="002B69E8">
        <w:trPr>
          <w:trHeight w:val="146"/>
        </w:trPr>
        <w:tc>
          <w:tcPr>
            <w:tcW w:w="9522" w:type="dxa"/>
            <w:shd w:val="clear" w:color="auto" w:fill="auto"/>
          </w:tcPr>
          <w:p w14:paraId="5FE02A15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1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Wal-yan Respiratory Research Centre, Telethon Kids Institute, WA, Australia</w:t>
            </w:r>
          </w:p>
          <w:p w14:paraId="35BB4F1B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2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Medical, Molecular and Forensic Sciences, Murdoch University, WA, Australia</w:t>
            </w:r>
          </w:p>
          <w:p w14:paraId="6DD692BA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3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Division of Molecular Biology and Human Genetics, Faculty of Medicine and Health Sciences, Stellenbosch University, Cape Town.</w:t>
            </w:r>
          </w:p>
          <w:p w14:paraId="5BC7D431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4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Department of Respiratory and Sleep Medicine, Perth Children’s Hospital for Children, WA, Australia.</w:t>
            </w:r>
          </w:p>
          <w:p w14:paraId="1C2447ED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5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Centre for Cell Therapy and Regenerative Medicine, School of Medicine and Pharmacology, WA, Australia.</w:t>
            </w:r>
          </w:p>
          <w:p w14:paraId="36E806B2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6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School of Population Health, Curtin University, WA, Bentley, Australia</w:t>
            </w:r>
          </w:p>
          <w:p w14:paraId="7E55ABF5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7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Centre for Computational and Systems Medicine, Health Futures Institute, Murdoch University</w:t>
            </w:r>
          </w:p>
          <w:p w14:paraId="37B2D947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8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Perron Institute for Neurological and Translational Science, Perth, 8 Verdun Street, Nedlands, WA, 6009, Australia</w:t>
            </w:r>
          </w:p>
          <w:p w14:paraId="63465B9F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9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Centre for Molecular Medicine and Innovative Therapeutics, Murdoch University, Perth, WA, Australia</w:t>
            </w:r>
          </w:p>
          <w:p w14:paraId="1D35D302" w14:textId="77777777" w:rsidR="002B69E8" w:rsidRPr="00090231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10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Australian Research Council Centre of Excellence in Plant Energy Biology, School of Molecular Sciences, The University of Western Australia, Perth, WA, Australia</w:t>
            </w:r>
          </w:p>
          <w:p w14:paraId="34ECAAF3" w14:textId="77777777" w:rsidR="002B69E8" w:rsidRPr="002B69E8" w:rsidRDefault="002B69E8" w:rsidP="002B69E8">
            <w:pPr>
              <w:spacing w:before="120" w:after="12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</w:pPr>
            <w:r w:rsidRPr="0009023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 w:eastAsia="en-GB"/>
              </w:rPr>
              <w:t>11</w:t>
            </w:r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 xml:space="preserve">European Virus Bioinformatics </w:t>
            </w:r>
            <w:proofErr w:type="spellStart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Center</w:t>
            </w:r>
            <w:proofErr w:type="spellEnd"/>
            <w:r w:rsidRPr="00090231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, Jena, TH, Germany</w:t>
            </w:r>
            <w:r w:rsidRPr="002B69E8">
              <w:rPr>
                <w:rFonts w:ascii="Arial" w:hAnsi="Arial" w:cs="Arial"/>
                <w:i/>
                <w:iCs/>
                <w:sz w:val="22"/>
                <w:szCs w:val="22"/>
                <w:lang w:val="en-AU" w:eastAsia="en-GB"/>
              </w:rPr>
              <w:t>.</w:t>
            </w:r>
          </w:p>
        </w:tc>
      </w:tr>
      <w:tr w:rsidR="002B69E8" w:rsidRPr="0050053A" w14:paraId="5B92F100" w14:textId="77777777" w:rsidTr="002B69E8">
        <w:trPr>
          <w:trHeight w:hRule="exact" w:val="6815"/>
        </w:trPr>
        <w:tc>
          <w:tcPr>
            <w:tcW w:w="9522" w:type="dxa"/>
            <w:shd w:val="clear" w:color="auto" w:fill="auto"/>
          </w:tcPr>
          <w:p w14:paraId="68A1E73C" w14:textId="77777777" w:rsidR="002B69E8" w:rsidRPr="002B69E8" w:rsidRDefault="002B69E8" w:rsidP="002B69E8">
            <w:pPr>
              <w:pStyle w:val="Pa12"/>
              <w:rPr>
                <w:rStyle w:val="A4"/>
                <w:b/>
                <w:bCs/>
                <w:lang w:val="en-AU"/>
              </w:rPr>
            </w:pPr>
            <w:r w:rsidRPr="00090231">
              <w:rPr>
                <w:b/>
                <w:bCs/>
                <w:color w:val="000000"/>
                <w:sz w:val="22"/>
                <w:szCs w:val="22"/>
                <w:lang w:val="en-AU"/>
              </w:rPr>
              <w:t xml:space="preserve">Keywords: </w:t>
            </w:r>
            <w:proofErr w:type="spellStart"/>
            <w:r w:rsidRPr="00090231">
              <w:rPr>
                <w:color w:val="000000"/>
                <w:sz w:val="22"/>
                <w:szCs w:val="22"/>
                <w:lang w:val="en-AU"/>
              </w:rPr>
              <w:t>Virome</w:t>
            </w:r>
            <w:proofErr w:type="spellEnd"/>
            <w:r w:rsidRPr="00090231">
              <w:rPr>
                <w:color w:val="000000"/>
                <w:sz w:val="22"/>
                <w:szCs w:val="22"/>
                <w:lang w:val="en-AU"/>
              </w:rPr>
              <w:t>, tuberculosis, viral genomics</w:t>
            </w:r>
          </w:p>
          <w:p w14:paraId="2630C9D5" w14:textId="77777777" w:rsidR="002B69E8" w:rsidRPr="002B69E8" w:rsidRDefault="002B69E8" w:rsidP="002B69E8">
            <w:pPr>
              <w:pStyle w:val="Pa12"/>
              <w:jc w:val="both"/>
              <w:rPr>
                <w:rStyle w:val="A4"/>
              </w:rPr>
            </w:pPr>
            <w:r w:rsidRPr="002B69E8">
              <w:rPr>
                <w:rStyle w:val="A4"/>
                <w:b/>
                <w:bCs/>
              </w:rPr>
              <w:t xml:space="preserve">Introduction/Aim: </w:t>
            </w:r>
            <w:r w:rsidRPr="002B69E8">
              <w:rPr>
                <w:sz w:val="22"/>
                <w:szCs w:val="22"/>
              </w:rPr>
              <w:t xml:space="preserve"> To gain an insight into the ancient lung </w:t>
            </w:r>
            <w:proofErr w:type="spellStart"/>
            <w:r w:rsidRPr="002B69E8">
              <w:rPr>
                <w:sz w:val="22"/>
                <w:szCs w:val="22"/>
              </w:rPr>
              <w:t>virome</w:t>
            </w:r>
            <w:proofErr w:type="spellEnd"/>
            <w:r w:rsidRPr="002B69E8">
              <w:rPr>
                <w:sz w:val="22"/>
                <w:szCs w:val="22"/>
              </w:rPr>
              <w:t xml:space="preserve"> possibly associated to Tuberculosis (TB), we reanalysed metagenomics data from lung tissue samples of mummified remains found in a crypt in Hungary (DOI:10.1038/ncomms7717). These 18</w:t>
            </w:r>
            <w:r w:rsidRPr="002B69E8">
              <w:rPr>
                <w:sz w:val="22"/>
                <w:szCs w:val="22"/>
                <w:vertAlign w:val="superscript"/>
              </w:rPr>
              <w:t>th</w:t>
            </w:r>
            <w:r w:rsidRPr="002B69E8">
              <w:rPr>
                <w:sz w:val="22"/>
                <w:szCs w:val="22"/>
              </w:rPr>
              <w:t xml:space="preserve"> Century crypts contained remains from individuals who died from TB and underwent shotgun metagenomic sequencing to identify TB strains. Therefore, this study aimed to assess the </w:t>
            </w:r>
            <w:proofErr w:type="spellStart"/>
            <w:r w:rsidRPr="002B69E8">
              <w:rPr>
                <w:sz w:val="22"/>
                <w:szCs w:val="22"/>
              </w:rPr>
              <w:t>virome</w:t>
            </w:r>
            <w:proofErr w:type="spellEnd"/>
            <w:r w:rsidRPr="002B69E8">
              <w:rPr>
                <w:sz w:val="22"/>
                <w:szCs w:val="22"/>
              </w:rPr>
              <w:t xml:space="preserve"> associated with TB by characterising and taxonomically classifying the viral contigs (</w:t>
            </w:r>
            <w:proofErr w:type="spellStart"/>
            <w:r w:rsidRPr="002B69E8">
              <w:rPr>
                <w:sz w:val="22"/>
                <w:szCs w:val="22"/>
              </w:rPr>
              <w:t>vContigs</w:t>
            </w:r>
            <w:proofErr w:type="spellEnd"/>
            <w:r w:rsidRPr="002B69E8">
              <w:rPr>
                <w:sz w:val="22"/>
                <w:szCs w:val="22"/>
              </w:rPr>
              <w:t>) associated with the TB-infected mummified remains.</w:t>
            </w:r>
          </w:p>
          <w:p w14:paraId="38BBAC79" w14:textId="77777777" w:rsidR="002B69E8" w:rsidRPr="002B69E8" w:rsidRDefault="002B69E8" w:rsidP="002B69E8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2B69E8">
              <w:rPr>
                <w:rStyle w:val="A4"/>
                <w:b/>
                <w:bCs/>
              </w:rPr>
              <w:t xml:space="preserve">Methods: </w:t>
            </w:r>
            <w:r w:rsidRPr="002B69E8">
              <w:rPr>
                <w:sz w:val="22"/>
                <w:szCs w:val="22"/>
              </w:rPr>
              <w:t xml:space="preserve"> Two lung </w:t>
            </w:r>
            <w:proofErr w:type="spellStart"/>
            <w:r w:rsidRPr="002B69E8">
              <w:rPr>
                <w:sz w:val="22"/>
                <w:szCs w:val="22"/>
              </w:rPr>
              <w:t>virome</w:t>
            </w:r>
            <w:proofErr w:type="spellEnd"/>
            <w:r w:rsidRPr="002B69E8">
              <w:rPr>
                <w:sz w:val="22"/>
                <w:szCs w:val="22"/>
              </w:rPr>
              <w:t xml:space="preserve"> studies utilising shotgun metagenomics on mummified lung tissue were collated from the public database Sequence Read Archive (SRA) public database. The </w:t>
            </w:r>
            <w:proofErr w:type="spellStart"/>
            <w:r w:rsidRPr="002B69E8">
              <w:rPr>
                <w:sz w:val="22"/>
                <w:szCs w:val="22"/>
              </w:rPr>
              <w:t>bioproject</w:t>
            </w:r>
            <w:proofErr w:type="spellEnd"/>
            <w:r w:rsidRPr="002B69E8">
              <w:rPr>
                <w:sz w:val="22"/>
                <w:szCs w:val="22"/>
              </w:rPr>
              <w:t xml:space="preserve"> data was then run through the EVEREST pipeline (https://agudeloromero.github.io/EVEREST/). Additionally phylogenetic analyses were performed on both viral contigs to confirm their taxonomic classification.</w:t>
            </w:r>
          </w:p>
          <w:p w14:paraId="12D46B5C" w14:textId="77777777" w:rsidR="002B69E8" w:rsidRPr="002B69E8" w:rsidRDefault="002B69E8" w:rsidP="002B69E8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2B69E8">
              <w:rPr>
                <w:rStyle w:val="A4"/>
                <w:b/>
                <w:bCs/>
              </w:rPr>
              <w:t xml:space="preserve">Results: </w:t>
            </w:r>
            <w:r w:rsidRPr="002B69E8">
              <w:rPr>
                <w:sz w:val="22"/>
                <w:szCs w:val="22"/>
              </w:rPr>
              <w:t xml:space="preserve"> </w:t>
            </w:r>
            <w:proofErr w:type="spellStart"/>
            <w:r w:rsidRPr="002B69E8">
              <w:rPr>
                <w:sz w:val="22"/>
                <w:szCs w:val="22"/>
              </w:rPr>
              <w:t>vContig-Cressdnaviridae</w:t>
            </w:r>
            <w:proofErr w:type="spellEnd"/>
            <w:r w:rsidRPr="002B69E8">
              <w:rPr>
                <w:sz w:val="22"/>
                <w:szCs w:val="22"/>
              </w:rPr>
              <w:t xml:space="preserve"> and </w:t>
            </w:r>
            <w:proofErr w:type="spellStart"/>
            <w:r w:rsidRPr="002B69E8">
              <w:rPr>
                <w:sz w:val="22"/>
                <w:szCs w:val="22"/>
              </w:rPr>
              <w:t>vContig-Caudovirales</w:t>
            </w:r>
            <w:proofErr w:type="spellEnd"/>
            <w:r w:rsidRPr="002B69E8">
              <w:rPr>
                <w:sz w:val="22"/>
                <w:szCs w:val="22"/>
              </w:rPr>
              <w:t xml:space="preserve"> captured 87 </w:t>
            </w:r>
            <w:proofErr w:type="spellStart"/>
            <w:r w:rsidRPr="002B69E8">
              <w:rPr>
                <w:sz w:val="22"/>
                <w:szCs w:val="22"/>
              </w:rPr>
              <w:t>vContigs</w:t>
            </w:r>
            <w:proofErr w:type="spellEnd"/>
            <w:r w:rsidRPr="002B69E8">
              <w:rPr>
                <w:sz w:val="22"/>
                <w:szCs w:val="22"/>
              </w:rPr>
              <w:t xml:space="preserve">, of which two were scored with medium and high-quality genomes and were found to belong to the orders </w:t>
            </w:r>
            <w:proofErr w:type="spellStart"/>
            <w:r w:rsidRPr="002B69E8">
              <w:rPr>
                <w:sz w:val="22"/>
                <w:szCs w:val="22"/>
              </w:rPr>
              <w:t>Cressdnaviridae</w:t>
            </w:r>
            <w:proofErr w:type="spellEnd"/>
            <w:r w:rsidRPr="002B69E8">
              <w:rPr>
                <w:sz w:val="22"/>
                <w:szCs w:val="22"/>
              </w:rPr>
              <w:t xml:space="preserve"> and </w:t>
            </w:r>
            <w:proofErr w:type="spellStart"/>
            <w:r w:rsidRPr="002B69E8">
              <w:rPr>
                <w:sz w:val="22"/>
                <w:szCs w:val="22"/>
              </w:rPr>
              <w:t>Caudovirales</w:t>
            </w:r>
            <w:proofErr w:type="spellEnd"/>
            <w:r w:rsidRPr="002B69E8">
              <w:rPr>
                <w:sz w:val="22"/>
                <w:szCs w:val="22"/>
              </w:rPr>
              <w:t xml:space="preserve">. The length of the </w:t>
            </w:r>
            <w:proofErr w:type="spellStart"/>
            <w:r w:rsidRPr="002B69E8">
              <w:rPr>
                <w:sz w:val="22"/>
                <w:szCs w:val="22"/>
              </w:rPr>
              <w:t>vContigs</w:t>
            </w:r>
            <w:proofErr w:type="spellEnd"/>
            <w:r w:rsidRPr="002B69E8">
              <w:rPr>
                <w:sz w:val="22"/>
                <w:szCs w:val="22"/>
              </w:rPr>
              <w:t xml:space="preserve"> were 7180 base pairs (bp) and 98030 bp, respectively. Genomic annotation showed GC contents of 58.23% and 67.55% for </w:t>
            </w:r>
            <w:proofErr w:type="spellStart"/>
            <w:r w:rsidRPr="002B69E8">
              <w:rPr>
                <w:sz w:val="22"/>
                <w:szCs w:val="22"/>
              </w:rPr>
              <w:t>vContig-Cressdnaviridae</w:t>
            </w:r>
            <w:proofErr w:type="spellEnd"/>
            <w:r w:rsidRPr="002B69E8">
              <w:rPr>
                <w:sz w:val="22"/>
                <w:szCs w:val="22"/>
              </w:rPr>
              <w:t xml:space="preserve"> and </w:t>
            </w:r>
            <w:proofErr w:type="spellStart"/>
            <w:r w:rsidRPr="002B69E8">
              <w:rPr>
                <w:sz w:val="22"/>
                <w:szCs w:val="22"/>
              </w:rPr>
              <w:t>vContig-Caudovirales</w:t>
            </w:r>
            <w:proofErr w:type="spellEnd"/>
            <w:r w:rsidRPr="002B69E8">
              <w:rPr>
                <w:sz w:val="22"/>
                <w:szCs w:val="22"/>
              </w:rPr>
              <w:t>, respectively. Gene coding densities of 87.16% (12 CDS, 25% known function) and 95.77% (162 CDS, 20.37% known function), including genes related to host takeover and tail proteins.</w:t>
            </w:r>
          </w:p>
          <w:p w14:paraId="7A27743F" w14:textId="77777777" w:rsidR="002B69E8" w:rsidRPr="002B69E8" w:rsidRDefault="002B69E8" w:rsidP="002B69E8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2B69E8">
              <w:rPr>
                <w:rStyle w:val="A4"/>
                <w:b/>
                <w:bCs/>
              </w:rPr>
              <w:t xml:space="preserve">Conclusion: </w:t>
            </w:r>
            <w:r w:rsidRPr="002B69E8">
              <w:rPr>
                <w:sz w:val="22"/>
                <w:szCs w:val="22"/>
              </w:rPr>
              <w:t xml:space="preserve"> Two complete </w:t>
            </w:r>
            <w:proofErr w:type="spellStart"/>
            <w:r w:rsidRPr="002B69E8">
              <w:rPr>
                <w:sz w:val="22"/>
                <w:szCs w:val="22"/>
              </w:rPr>
              <w:t>vContigs</w:t>
            </w:r>
            <w:proofErr w:type="spellEnd"/>
            <w:r w:rsidRPr="002B69E8">
              <w:rPr>
                <w:sz w:val="22"/>
                <w:szCs w:val="22"/>
              </w:rPr>
              <w:t xml:space="preserve"> were identified from publicly available mummified lung tissue metagenomic samples through the EVEREST pipeline. This has given a historic insight into the lung </w:t>
            </w:r>
            <w:proofErr w:type="spellStart"/>
            <w:r w:rsidRPr="002B69E8">
              <w:rPr>
                <w:sz w:val="22"/>
                <w:szCs w:val="22"/>
              </w:rPr>
              <w:t>virome</w:t>
            </w:r>
            <w:proofErr w:type="spellEnd"/>
            <w:r w:rsidRPr="002B69E8">
              <w:rPr>
                <w:sz w:val="22"/>
                <w:szCs w:val="22"/>
              </w:rPr>
              <w:t xml:space="preserve"> from Eastern Europe related to TB, and the lineage of historic bacteriophages.</w:t>
            </w:r>
          </w:p>
          <w:p w14:paraId="56A38E32" w14:textId="77777777" w:rsidR="002B69E8" w:rsidRPr="002B69E8" w:rsidRDefault="002B69E8" w:rsidP="002B69E8">
            <w:pPr>
              <w:pStyle w:val="Pa12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B69E8">
              <w:rPr>
                <w:rStyle w:val="A4"/>
                <w:b/>
                <w:bCs/>
              </w:rPr>
              <w:t xml:space="preserve">Grant Support: </w:t>
            </w:r>
            <w:r w:rsidRPr="002B69E8">
              <w:rPr>
                <w:sz w:val="22"/>
                <w:szCs w:val="22"/>
              </w:rPr>
              <w:t>Pawsey Supercomputing Research Centre, and Australian Government Research Training Program Scholarship.</w:t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90231"/>
    <w:rsid w:val="001564A4"/>
    <w:rsid w:val="002B69E8"/>
    <w:rsid w:val="0051574E"/>
    <w:rsid w:val="008803FA"/>
    <w:rsid w:val="00A11535"/>
    <w:rsid w:val="00B12E32"/>
    <w:rsid w:val="00CE23CD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Talya Conradie</cp:lastModifiedBy>
  <cp:revision>5</cp:revision>
  <dcterms:created xsi:type="dcterms:W3CDTF">2020-08-27T00:40:00Z</dcterms:created>
  <dcterms:modified xsi:type="dcterms:W3CDTF">2023-10-18T05:43:00Z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