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2"/>
      </w:tblGrid>
      <w:tr w:rsidR="006D4713" w:rsidRPr="0050053A" w14:paraId="6C68AC80" w14:textId="77777777" w:rsidTr="00B02F47">
        <w:trPr>
          <w:trHeight w:val="983"/>
          <w:jc w:val="center"/>
        </w:trPr>
        <w:tc>
          <w:tcPr>
            <w:tcW w:w="8962" w:type="dxa"/>
            <w:shd w:val="clear" w:color="auto" w:fill="auto"/>
          </w:tcPr>
          <w:p w14:paraId="6C68AC7F" w14:textId="61DB65AE" w:rsidR="006D4713" w:rsidRPr="0050053A" w:rsidRDefault="00B02F47" w:rsidP="009C1987">
            <w:pPr>
              <w:spacing w:before="120" w:after="120"/>
              <w:rPr>
                <w:rFonts w:ascii="Arial" w:hAnsi="Arial" w:cs="Arial"/>
                <w:b/>
                <w:sz w:val="22"/>
                <w:szCs w:val="22"/>
                <w:lang w:val="en-US" w:eastAsia="zh-CN"/>
              </w:rPr>
            </w:pPr>
            <w:r>
              <w:rPr>
                <w:rFonts w:ascii="Arial" w:hAnsi="Arial" w:cs="Arial"/>
                <w:b/>
                <w:bCs/>
              </w:rPr>
              <w:t>F</w:t>
            </w:r>
            <w:r w:rsidRPr="009A516E">
              <w:rPr>
                <w:rFonts w:ascii="Arial" w:hAnsi="Arial" w:cs="Arial"/>
                <w:b/>
                <w:bCs/>
              </w:rPr>
              <w:t>unctional lung imaging</w:t>
            </w:r>
            <w:r>
              <w:rPr>
                <w:rFonts w:ascii="Arial" w:hAnsi="Arial" w:cs="Arial"/>
                <w:b/>
                <w:bCs/>
              </w:rPr>
              <w:t xml:space="preserve"> using X-ray Velocimetry predicts pneumothorax following post-endobronchial valve placement</w:t>
            </w:r>
          </w:p>
        </w:tc>
      </w:tr>
      <w:tr w:rsidR="006D4713" w:rsidRPr="0050053A" w14:paraId="6C68AC82" w14:textId="77777777" w:rsidTr="00B02F47">
        <w:trPr>
          <w:trHeight w:val="746"/>
          <w:jc w:val="center"/>
        </w:trPr>
        <w:tc>
          <w:tcPr>
            <w:tcW w:w="8962" w:type="dxa"/>
            <w:shd w:val="clear" w:color="auto" w:fill="auto"/>
          </w:tcPr>
          <w:p w14:paraId="6C68AC81" w14:textId="6D2842D2" w:rsidR="006D4713" w:rsidRPr="0050053A" w:rsidRDefault="00B02F47" w:rsidP="009C1987">
            <w:pPr>
              <w:spacing w:before="120" w:after="120"/>
              <w:rPr>
                <w:rFonts w:ascii="Arial" w:hAnsi="Arial" w:cs="Arial"/>
                <w:i/>
                <w:sz w:val="22"/>
                <w:szCs w:val="22"/>
                <w:u w:val="single"/>
                <w:lang w:eastAsia="zh-CN"/>
              </w:rPr>
            </w:pPr>
            <w:r>
              <w:rPr>
                <w:rFonts w:ascii="Arial" w:hAnsi="Arial" w:cs="Arial"/>
                <w:sz w:val="22"/>
                <w:szCs w:val="22"/>
                <w:lang w:val="en-US" w:eastAsia="en-GB"/>
              </w:rPr>
              <w:t>Nilsen K</w:t>
            </w:r>
            <w:r w:rsidRPr="003C6984">
              <w:rPr>
                <w:rFonts w:ascii="Arial" w:hAnsi="Arial" w:cs="Arial"/>
                <w:sz w:val="22"/>
                <w:szCs w:val="22"/>
                <w:vertAlign w:val="superscript"/>
                <w:lang w:val="en-US" w:eastAsia="en-GB"/>
              </w:rPr>
              <w:t>1</w:t>
            </w:r>
            <w:r>
              <w:rPr>
                <w:rFonts w:ascii="Arial" w:hAnsi="Arial" w:cs="Arial"/>
                <w:sz w:val="22"/>
                <w:szCs w:val="22"/>
                <w:vertAlign w:val="subscript"/>
                <w:lang w:val="en-US" w:eastAsia="en-GB"/>
              </w:rPr>
              <w:t>,</w:t>
            </w:r>
            <w:r>
              <w:rPr>
                <w:rFonts w:ascii="Arial" w:hAnsi="Arial" w:cs="Arial"/>
                <w:sz w:val="22"/>
                <w:szCs w:val="22"/>
                <w:vertAlign w:val="superscript"/>
                <w:lang w:val="en-US" w:eastAsia="en-GB"/>
              </w:rPr>
              <w:t xml:space="preserve"> </w:t>
            </w:r>
            <w:r>
              <w:rPr>
                <w:rFonts w:ascii="Arial" w:hAnsi="Arial" w:cs="Arial"/>
                <w:sz w:val="22"/>
                <w:szCs w:val="22"/>
                <w:lang w:val="en-US" w:eastAsia="en-GB"/>
              </w:rPr>
              <w:t>Eikelis N</w:t>
            </w:r>
            <w:r w:rsidRPr="00413B94">
              <w:rPr>
                <w:rFonts w:ascii="Arial" w:hAnsi="Arial" w:cs="Arial"/>
                <w:sz w:val="22"/>
                <w:szCs w:val="22"/>
                <w:vertAlign w:val="superscript"/>
                <w:lang w:val="en-US" w:eastAsia="en-GB"/>
              </w:rPr>
              <w:t>1</w:t>
            </w:r>
            <w:bookmarkStart w:id="0" w:name="Text8"/>
            <w:r w:rsidRPr="00413B94">
              <w:rPr>
                <w:rFonts w:ascii="Arial" w:hAnsi="Arial" w:cs="Arial"/>
                <w:sz w:val="22"/>
                <w:szCs w:val="22"/>
                <w:lang w:val="en-US" w:eastAsia="en-GB"/>
              </w:rPr>
              <w:t>,</w:t>
            </w:r>
            <w:bookmarkEnd w:id="0"/>
            <w:r>
              <w:rPr>
                <w:rFonts w:ascii="Arial" w:hAnsi="Arial" w:cs="Arial"/>
                <w:sz w:val="22"/>
                <w:szCs w:val="22"/>
                <w:lang w:val="en-US" w:eastAsia="en-GB"/>
              </w:rPr>
              <w:t xml:space="preserve"> </w:t>
            </w:r>
            <w:r w:rsidRPr="00014932">
              <w:rPr>
                <w:rFonts w:ascii="Arial" w:hAnsi="Arial" w:cs="Arial"/>
                <w:sz w:val="22"/>
                <w:szCs w:val="22"/>
                <w:lang w:val="en-US" w:eastAsia="en-GB"/>
              </w:rPr>
              <w:t>Marchetti</w:t>
            </w:r>
            <w:r>
              <w:rPr>
                <w:rFonts w:ascii="Arial" w:hAnsi="Arial" w:cs="Arial"/>
                <w:sz w:val="22"/>
                <w:szCs w:val="22"/>
                <w:lang w:val="en-US" w:eastAsia="en-GB"/>
              </w:rPr>
              <w:t xml:space="preserve"> N</w:t>
            </w:r>
            <w:r>
              <w:rPr>
                <w:rFonts w:ascii="Arial" w:hAnsi="Arial" w:cs="Arial"/>
                <w:sz w:val="22"/>
                <w:szCs w:val="22"/>
                <w:vertAlign w:val="superscript"/>
                <w:lang w:val="en-US" w:eastAsia="en-GB"/>
              </w:rPr>
              <w:t>2</w:t>
            </w:r>
            <w:r>
              <w:rPr>
                <w:rFonts w:ascii="Arial" w:hAnsi="Arial" w:cs="Arial"/>
                <w:sz w:val="22"/>
                <w:szCs w:val="22"/>
                <w:lang w:val="en-US" w:eastAsia="en-GB"/>
              </w:rPr>
              <w:t xml:space="preserve">, </w:t>
            </w:r>
            <w:r w:rsidRPr="00014932">
              <w:rPr>
                <w:rFonts w:ascii="Arial" w:hAnsi="Arial" w:cs="Arial"/>
                <w:sz w:val="22"/>
                <w:szCs w:val="22"/>
                <w:lang w:val="en-US" w:eastAsia="en-GB"/>
              </w:rPr>
              <w:t xml:space="preserve">Rashid </w:t>
            </w:r>
            <w:r>
              <w:rPr>
                <w:rFonts w:ascii="Arial" w:hAnsi="Arial" w:cs="Arial"/>
                <w:sz w:val="22"/>
                <w:szCs w:val="22"/>
                <w:lang w:val="en-US" w:eastAsia="en-GB"/>
              </w:rPr>
              <w:t>M</w:t>
            </w:r>
            <w:r>
              <w:rPr>
                <w:rFonts w:ascii="Arial" w:hAnsi="Arial" w:cs="Arial"/>
                <w:sz w:val="22"/>
                <w:szCs w:val="22"/>
                <w:vertAlign w:val="superscript"/>
                <w:lang w:val="en-US" w:eastAsia="en-GB"/>
              </w:rPr>
              <w:t>2</w:t>
            </w:r>
            <w:r>
              <w:rPr>
                <w:rFonts w:ascii="Arial" w:hAnsi="Arial" w:cs="Arial"/>
                <w:sz w:val="22"/>
                <w:szCs w:val="22"/>
                <w:lang w:val="en-US" w:eastAsia="en-GB"/>
              </w:rPr>
              <w:t xml:space="preserve">, </w:t>
            </w:r>
            <w:r w:rsidRPr="00014932">
              <w:rPr>
                <w:rFonts w:ascii="Arial" w:hAnsi="Arial" w:cs="Arial"/>
                <w:sz w:val="22"/>
                <w:szCs w:val="22"/>
                <w:lang w:val="en-US" w:eastAsia="en-GB"/>
              </w:rPr>
              <w:t>Walia</w:t>
            </w:r>
            <w:r>
              <w:rPr>
                <w:rFonts w:ascii="Arial" w:hAnsi="Arial" w:cs="Arial"/>
                <w:sz w:val="22"/>
                <w:szCs w:val="22"/>
                <w:lang w:val="en-US" w:eastAsia="en-GB"/>
              </w:rPr>
              <w:t xml:space="preserve"> P</w:t>
            </w:r>
            <w:r>
              <w:rPr>
                <w:rFonts w:ascii="Arial" w:hAnsi="Arial" w:cs="Arial"/>
                <w:sz w:val="22"/>
                <w:szCs w:val="22"/>
                <w:vertAlign w:val="superscript"/>
                <w:lang w:val="en-US" w:eastAsia="en-GB"/>
              </w:rPr>
              <w:t>2</w:t>
            </w:r>
            <w:r>
              <w:rPr>
                <w:rFonts w:ascii="Arial" w:hAnsi="Arial" w:cs="Arial"/>
                <w:sz w:val="22"/>
                <w:szCs w:val="22"/>
                <w:lang w:val="en-US" w:eastAsia="en-GB"/>
              </w:rPr>
              <w:t xml:space="preserve">, </w:t>
            </w:r>
            <w:r w:rsidRPr="00014932">
              <w:rPr>
                <w:rFonts w:ascii="Arial" w:hAnsi="Arial" w:cs="Arial"/>
                <w:sz w:val="22"/>
                <w:szCs w:val="22"/>
                <w:lang w:val="en-US" w:eastAsia="en-GB"/>
              </w:rPr>
              <w:t>Criner</w:t>
            </w:r>
            <w:r>
              <w:rPr>
                <w:rFonts w:ascii="Arial" w:hAnsi="Arial" w:cs="Arial"/>
                <w:sz w:val="22"/>
                <w:szCs w:val="22"/>
                <w:lang w:val="en-US" w:eastAsia="en-GB"/>
              </w:rPr>
              <w:t xml:space="preserve"> H</w:t>
            </w:r>
            <w:r>
              <w:rPr>
                <w:rFonts w:ascii="Arial" w:hAnsi="Arial" w:cs="Arial"/>
                <w:sz w:val="22"/>
                <w:szCs w:val="22"/>
                <w:vertAlign w:val="superscript"/>
                <w:lang w:val="en-US" w:eastAsia="en-GB"/>
              </w:rPr>
              <w:t>2</w:t>
            </w:r>
            <w:r>
              <w:rPr>
                <w:rFonts w:ascii="Arial" w:hAnsi="Arial" w:cs="Arial"/>
                <w:sz w:val="22"/>
                <w:szCs w:val="22"/>
                <w:lang w:val="en-US" w:eastAsia="en-GB"/>
              </w:rPr>
              <w:t>, Hatt C</w:t>
            </w:r>
            <w:r>
              <w:rPr>
                <w:rFonts w:ascii="Arial" w:hAnsi="Arial" w:cs="Arial"/>
                <w:sz w:val="22"/>
                <w:szCs w:val="22"/>
                <w:vertAlign w:val="superscript"/>
                <w:lang w:val="en-US" w:eastAsia="en-GB"/>
              </w:rPr>
              <w:t>1</w:t>
            </w:r>
            <w:r>
              <w:rPr>
                <w:rFonts w:ascii="Arial" w:hAnsi="Arial" w:cs="Arial"/>
                <w:sz w:val="22"/>
                <w:szCs w:val="22"/>
                <w:lang w:val="en-US" w:eastAsia="en-GB"/>
              </w:rPr>
              <w:t>, Criner G</w:t>
            </w:r>
            <w:r>
              <w:rPr>
                <w:rFonts w:ascii="Arial" w:hAnsi="Arial" w:cs="Arial"/>
                <w:sz w:val="22"/>
                <w:szCs w:val="22"/>
                <w:vertAlign w:val="superscript"/>
                <w:lang w:val="en-US" w:eastAsia="en-GB"/>
              </w:rPr>
              <w:t>2</w:t>
            </w:r>
          </w:p>
        </w:tc>
      </w:tr>
      <w:tr w:rsidR="006D4713" w:rsidRPr="0050053A" w14:paraId="6C68AC88" w14:textId="77777777" w:rsidTr="00B02F47">
        <w:trPr>
          <w:trHeight w:val="205"/>
          <w:jc w:val="center"/>
        </w:trPr>
        <w:tc>
          <w:tcPr>
            <w:tcW w:w="8962" w:type="dxa"/>
            <w:shd w:val="clear" w:color="auto" w:fill="auto"/>
          </w:tcPr>
          <w:p w14:paraId="6C68AC87" w14:textId="37A6E2AA" w:rsidR="006D4713" w:rsidRPr="0050053A" w:rsidRDefault="00B02F47" w:rsidP="00D02B65">
            <w:pPr>
              <w:spacing w:before="120" w:after="120"/>
              <w:rPr>
                <w:rFonts w:ascii="Arial" w:hAnsi="Arial" w:cs="Arial"/>
                <w:i/>
                <w:sz w:val="22"/>
                <w:szCs w:val="22"/>
                <w:lang w:val="en-US" w:eastAsia="en-GB"/>
              </w:rPr>
            </w:pPr>
            <w:r w:rsidRPr="003C6984">
              <w:rPr>
                <w:rFonts w:ascii="Arial" w:hAnsi="Arial" w:cs="Arial"/>
                <w:i/>
                <w:sz w:val="22"/>
                <w:szCs w:val="22"/>
                <w:vertAlign w:val="superscript"/>
                <w:lang w:val="en-US" w:eastAsia="en-GB"/>
              </w:rPr>
              <w:t>1</w:t>
            </w:r>
            <w:r>
              <w:rPr>
                <w:rFonts w:ascii="Arial" w:hAnsi="Arial" w:cs="Arial"/>
                <w:i/>
                <w:sz w:val="22"/>
                <w:szCs w:val="22"/>
                <w:lang w:val="en-US" w:eastAsia="en-GB"/>
              </w:rPr>
              <w:t>4DMedical Limited</w:t>
            </w:r>
            <w:r w:rsidRPr="003C6984">
              <w:rPr>
                <w:rFonts w:ascii="Arial" w:hAnsi="Arial" w:cs="Arial"/>
                <w:i/>
                <w:sz w:val="22"/>
                <w:szCs w:val="22"/>
                <w:lang w:val="en-US" w:eastAsia="en-GB"/>
              </w:rPr>
              <w:t xml:space="preserve">, </w:t>
            </w:r>
            <w:r>
              <w:rPr>
                <w:rFonts w:ascii="Arial" w:hAnsi="Arial" w:cs="Arial"/>
                <w:i/>
                <w:sz w:val="22"/>
                <w:szCs w:val="22"/>
                <w:lang w:val="en-US" w:eastAsia="en-GB"/>
              </w:rPr>
              <w:t xml:space="preserve">Melbourne, </w:t>
            </w:r>
            <w:r w:rsidRPr="003C6984">
              <w:rPr>
                <w:rFonts w:ascii="Arial" w:hAnsi="Arial" w:cs="Arial"/>
                <w:i/>
                <w:sz w:val="22"/>
                <w:szCs w:val="22"/>
                <w:lang w:val="en-US" w:eastAsia="en-GB"/>
              </w:rPr>
              <w:t>Australia</w:t>
            </w:r>
            <w:r>
              <w:rPr>
                <w:rFonts w:ascii="Arial" w:hAnsi="Arial" w:cs="Arial"/>
                <w:i/>
                <w:sz w:val="22"/>
                <w:szCs w:val="22"/>
                <w:lang w:val="en-US" w:eastAsia="en-GB"/>
              </w:rPr>
              <w:t xml:space="preserve">, </w:t>
            </w:r>
            <w:r>
              <w:rPr>
                <w:rFonts w:ascii="Arial" w:hAnsi="Arial" w:cs="Arial"/>
                <w:i/>
                <w:sz w:val="22"/>
                <w:szCs w:val="22"/>
                <w:vertAlign w:val="superscript"/>
                <w:lang w:val="en-US" w:eastAsia="en-GB"/>
              </w:rPr>
              <w:t>2</w:t>
            </w:r>
            <w:r>
              <w:rPr>
                <w:rFonts w:ascii="Arial" w:hAnsi="Arial" w:cs="Arial"/>
                <w:i/>
                <w:sz w:val="22"/>
                <w:szCs w:val="22"/>
                <w:lang w:val="en-US" w:eastAsia="en-GB"/>
              </w:rPr>
              <w:t>Temple Health</w:t>
            </w:r>
            <w:r w:rsidRPr="003C6984">
              <w:rPr>
                <w:rFonts w:ascii="Arial" w:hAnsi="Arial" w:cs="Arial"/>
                <w:i/>
                <w:sz w:val="22"/>
                <w:szCs w:val="22"/>
                <w:lang w:val="en-US" w:eastAsia="en-GB"/>
              </w:rPr>
              <w:t xml:space="preserve">, </w:t>
            </w:r>
            <w:r>
              <w:rPr>
                <w:rFonts w:ascii="Arial" w:hAnsi="Arial" w:cs="Arial"/>
                <w:i/>
                <w:sz w:val="22"/>
                <w:szCs w:val="22"/>
                <w:lang w:val="en-US" w:eastAsia="en-GB"/>
              </w:rPr>
              <w:t>PA</w:t>
            </w:r>
            <w:r w:rsidRPr="003C6984">
              <w:rPr>
                <w:rFonts w:ascii="Arial" w:hAnsi="Arial" w:cs="Arial"/>
                <w:i/>
                <w:sz w:val="22"/>
                <w:szCs w:val="22"/>
                <w:lang w:val="en-US" w:eastAsia="en-GB"/>
              </w:rPr>
              <w:t xml:space="preserve">, </w:t>
            </w:r>
            <w:r>
              <w:rPr>
                <w:rFonts w:ascii="Arial" w:hAnsi="Arial" w:cs="Arial"/>
                <w:i/>
                <w:sz w:val="22"/>
                <w:szCs w:val="22"/>
                <w:lang w:val="en-US" w:eastAsia="en-GB"/>
              </w:rPr>
              <w:t xml:space="preserve">USA </w:t>
            </w:r>
          </w:p>
        </w:tc>
      </w:tr>
      <w:tr w:rsidR="006D4713" w:rsidRPr="0050053A" w14:paraId="6C68ACA3" w14:textId="77777777" w:rsidTr="00B02F47">
        <w:trPr>
          <w:trHeight w:hRule="exact" w:val="11155"/>
          <w:jc w:val="center"/>
        </w:trPr>
        <w:tc>
          <w:tcPr>
            <w:tcW w:w="8962" w:type="dxa"/>
            <w:shd w:val="clear" w:color="auto" w:fill="auto"/>
          </w:tcPr>
          <w:p w14:paraId="68343BF4" w14:textId="77777777" w:rsidR="00B02F47" w:rsidRDefault="00B02F47" w:rsidP="00B02F47">
            <w:pPr>
              <w:pStyle w:val="Pa12"/>
              <w:jc w:val="both"/>
              <w:rPr>
                <w:rStyle w:val="A4"/>
                <w:b/>
                <w:bCs/>
              </w:rPr>
            </w:pPr>
            <w:r>
              <w:rPr>
                <w:rStyle w:val="A4"/>
                <w:b/>
                <w:bCs/>
              </w:rPr>
              <w:t>Introduction</w:t>
            </w:r>
            <w:r w:rsidRPr="008E27DD">
              <w:rPr>
                <w:rStyle w:val="A4"/>
              </w:rPr>
              <w:t xml:space="preserve">: </w:t>
            </w:r>
            <w:r>
              <w:rPr>
                <w:rStyle w:val="A4"/>
              </w:rPr>
              <w:t>Bronchoscopic lung volume reduction (BLVR) is used to treat advanced emphysema and is approved as a treatment strategy in the Global Initiative for COPD guidelines. During this procedure, valves are placed in the airways to promote atelectasis in the targeted lobe, thereby improving respiratory mechanics. Pneumothorax (PTX) is a well-known post-BLVR risk due to the rapid expansion of the non-target ipsilateral lobe. To address this, we have developed novel spatial measurements of lung stiffness using X-ray Velocimetry (XV, 4DMedical Limited, Australia). We hypothesize that increased lobe stiffness increases the risk of PTX post-BLVR, and imaging measurements can be used to predict this PTX risk.</w:t>
            </w:r>
          </w:p>
          <w:p w14:paraId="36ECF1C2" w14:textId="77777777" w:rsidR="00B02F47" w:rsidRDefault="00B02F47" w:rsidP="00B02F47">
            <w:pPr>
              <w:pStyle w:val="Pa12"/>
              <w:jc w:val="both"/>
              <w:rPr>
                <w:rStyle w:val="A4"/>
                <w:b/>
                <w:bCs/>
              </w:rPr>
            </w:pPr>
            <w:r w:rsidRPr="003850B7">
              <w:rPr>
                <w:rStyle w:val="A4"/>
                <w:b/>
                <w:bCs/>
              </w:rPr>
              <w:t xml:space="preserve">Methods: </w:t>
            </w:r>
            <w:r w:rsidRPr="00A31211">
              <w:rPr>
                <w:sz w:val="22"/>
                <w:szCs w:val="22"/>
              </w:rPr>
              <w:t xml:space="preserve">A prospective cross-sectional </w:t>
            </w:r>
            <w:r>
              <w:rPr>
                <w:sz w:val="22"/>
                <w:szCs w:val="22"/>
              </w:rPr>
              <w:t>study</w:t>
            </w:r>
            <w:r w:rsidRPr="00A31211">
              <w:rPr>
                <w:sz w:val="22"/>
                <w:szCs w:val="22"/>
              </w:rPr>
              <w:t xml:space="preserve"> was performed</w:t>
            </w:r>
            <w:r w:rsidRPr="009E6AFF">
              <w:rPr>
                <w:rStyle w:val="A4"/>
              </w:rPr>
              <w:t xml:space="preserve"> </w:t>
            </w:r>
            <w:r>
              <w:rPr>
                <w:rStyle w:val="A4"/>
              </w:rPr>
              <w:t xml:space="preserve">on </w:t>
            </w:r>
            <w:r w:rsidRPr="009E6AFF">
              <w:rPr>
                <w:rStyle w:val="A4"/>
              </w:rPr>
              <w:t>subjects with advanced emphysema undergoing BLVR treatment</w:t>
            </w:r>
            <w:r>
              <w:rPr>
                <w:rStyle w:val="A4"/>
              </w:rPr>
              <w:t xml:space="preserve"> at Temple University Hospital, USA</w:t>
            </w:r>
            <w:r w:rsidRPr="009E6AFF">
              <w:rPr>
                <w:rStyle w:val="A4"/>
              </w:rPr>
              <w:t>. Each subject</w:t>
            </w:r>
            <w:r>
              <w:rPr>
                <w:rStyle w:val="A4"/>
              </w:rPr>
              <w:t xml:space="preserve"> underwent</w:t>
            </w:r>
            <w:r w:rsidRPr="009E6AFF">
              <w:rPr>
                <w:rStyle w:val="A4"/>
              </w:rPr>
              <w:t xml:space="preserve"> chest CT </w:t>
            </w:r>
            <w:r>
              <w:rPr>
                <w:rStyle w:val="A4"/>
              </w:rPr>
              <w:t xml:space="preserve">and XV </w:t>
            </w:r>
            <w:r w:rsidRPr="009E6AFF">
              <w:rPr>
                <w:rStyle w:val="A4"/>
              </w:rPr>
              <w:t xml:space="preserve">imaging before BLVR treatment. </w:t>
            </w:r>
            <w:r>
              <w:rPr>
                <w:rStyle w:val="A4"/>
              </w:rPr>
              <w:t>Novel l</w:t>
            </w:r>
            <w:r w:rsidRPr="009E6AFF">
              <w:rPr>
                <w:rStyle w:val="A4"/>
              </w:rPr>
              <w:t>obe stiffness measurements were obtained from XV</w:t>
            </w:r>
            <w:r>
              <w:rPr>
                <w:rStyle w:val="A4"/>
              </w:rPr>
              <w:t>.</w:t>
            </w:r>
            <w:r w:rsidRPr="009E6AFF">
              <w:rPr>
                <w:rStyle w:val="A4"/>
              </w:rPr>
              <w:t xml:space="preserve"> </w:t>
            </w:r>
            <w:r>
              <w:rPr>
                <w:rStyle w:val="A4"/>
              </w:rPr>
              <w:t>L</w:t>
            </w:r>
            <w:r w:rsidRPr="009E6AFF">
              <w:rPr>
                <w:rStyle w:val="A4"/>
              </w:rPr>
              <w:t xml:space="preserve">obe volumes </w:t>
            </w:r>
            <w:r>
              <w:rPr>
                <w:rStyle w:val="A4"/>
              </w:rPr>
              <w:t xml:space="preserve">were obtained </w:t>
            </w:r>
            <w:r w:rsidRPr="009E6AFF">
              <w:rPr>
                <w:rStyle w:val="A4"/>
              </w:rPr>
              <w:t>from CT.</w:t>
            </w:r>
            <w:r>
              <w:rPr>
                <w:rStyle w:val="A4"/>
              </w:rPr>
              <w:t xml:space="preserve"> A logistic regression model was used to assess PTX risk from imaging variables.</w:t>
            </w:r>
          </w:p>
          <w:p w14:paraId="3B036B74" w14:textId="77777777" w:rsidR="00B02F47" w:rsidRPr="00D72C25" w:rsidRDefault="00B02F47" w:rsidP="00B02F47">
            <w:pPr>
              <w:pStyle w:val="Pa12"/>
              <w:jc w:val="both"/>
              <w:rPr>
                <w:color w:val="000000"/>
                <w:sz w:val="22"/>
                <w:szCs w:val="22"/>
              </w:rPr>
            </w:pPr>
            <w:r w:rsidRPr="0050053A">
              <w:rPr>
                <w:rStyle w:val="A4"/>
                <w:b/>
                <w:bCs/>
              </w:rPr>
              <w:t xml:space="preserve">Results: </w:t>
            </w:r>
            <w:r w:rsidRPr="004B5E3A">
              <w:rPr>
                <w:rStyle w:val="A4"/>
              </w:rPr>
              <w:t xml:space="preserve">29 subjects were recruited to the study, </w:t>
            </w:r>
            <w:r>
              <w:rPr>
                <w:rStyle w:val="A4"/>
              </w:rPr>
              <w:t>and 11 developed a PTX post-BLVR</w:t>
            </w:r>
            <w:r w:rsidRPr="004B5E3A">
              <w:rPr>
                <w:rStyle w:val="A4"/>
              </w:rPr>
              <w:t>.</w:t>
            </w:r>
            <w:r>
              <w:rPr>
                <w:rStyle w:val="A4"/>
              </w:rPr>
              <w:t xml:space="preserve"> The v</w:t>
            </w:r>
            <w:r w:rsidRPr="004B5E3A">
              <w:rPr>
                <w:rStyle w:val="A4"/>
              </w:rPr>
              <w:t>olume ratio between the target and ipsilateral lobe</w:t>
            </w:r>
            <w:r>
              <w:rPr>
                <w:rStyle w:val="A4"/>
              </w:rPr>
              <w:t xml:space="preserve"> (from CT),</w:t>
            </w:r>
            <w:r w:rsidRPr="004B5E3A">
              <w:rPr>
                <w:rStyle w:val="A4"/>
              </w:rPr>
              <w:t xml:space="preserve"> </w:t>
            </w:r>
            <w:r>
              <w:rPr>
                <w:rStyle w:val="A4"/>
              </w:rPr>
              <w:t>n</w:t>
            </w:r>
            <w:r w:rsidRPr="004B5E3A">
              <w:rPr>
                <w:rStyle w:val="A4"/>
              </w:rPr>
              <w:t xml:space="preserve">umber of valves, </w:t>
            </w:r>
            <w:r>
              <w:rPr>
                <w:rStyle w:val="A4"/>
              </w:rPr>
              <w:t>stiffness of the ipsilateral lobe (from XV),</w:t>
            </w:r>
            <w:r w:rsidRPr="004B5E3A">
              <w:rPr>
                <w:rStyle w:val="A4"/>
              </w:rPr>
              <w:t xml:space="preserve"> and stiffness of the target lobe</w:t>
            </w:r>
            <w:r>
              <w:rPr>
                <w:rStyle w:val="A4"/>
              </w:rPr>
              <w:t xml:space="preserve"> (from XV)</w:t>
            </w:r>
            <w:r w:rsidRPr="004B5E3A">
              <w:rPr>
                <w:rStyle w:val="A4"/>
              </w:rPr>
              <w:t xml:space="preserve"> </w:t>
            </w:r>
            <w:r>
              <w:rPr>
                <w:rStyle w:val="A4"/>
              </w:rPr>
              <w:t xml:space="preserve">were used </w:t>
            </w:r>
            <w:r w:rsidRPr="007A3D85">
              <w:rPr>
                <w:rStyle w:val="A4"/>
              </w:rPr>
              <w:t>as model predictors with a binary PTX outcome as the dependent variable.</w:t>
            </w:r>
            <w:r w:rsidRPr="007A3D85">
              <w:rPr>
                <w:rStyle w:val="A4"/>
                <w:b/>
                <w:bCs/>
              </w:rPr>
              <w:t xml:space="preserve"> </w:t>
            </w:r>
            <w:r w:rsidRPr="007A3D85">
              <w:rPr>
                <w:rStyle w:val="A4"/>
              </w:rPr>
              <w:t>The model predicted PTX probability with an AUC of 0.879 (p=0.016) and Accuracy of 0.862. Using a probably cutoff of 0.5 yielded Sensitivity=0.727 and Specificity =0.944.</w:t>
            </w:r>
          </w:p>
          <w:p w14:paraId="0D3E2207" w14:textId="77777777" w:rsidR="00B02F47" w:rsidRPr="007A3D85" w:rsidRDefault="00B02F47" w:rsidP="00B02F47">
            <w:pPr>
              <w:pStyle w:val="Pa12"/>
              <w:jc w:val="both"/>
              <w:rPr>
                <w:rStyle w:val="A4"/>
                <w:b/>
                <w:bCs/>
              </w:rPr>
            </w:pPr>
            <w:r w:rsidRPr="007A3D85">
              <w:rPr>
                <w:rStyle w:val="A4"/>
                <w:b/>
                <w:bCs/>
              </w:rPr>
              <w:t xml:space="preserve">Conclusion: </w:t>
            </w:r>
          </w:p>
          <w:p w14:paraId="23AC14B3" w14:textId="77777777" w:rsidR="00B02F47" w:rsidRDefault="00B02F47" w:rsidP="00B02F47">
            <w:pPr>
              <w:pStyle w:val="Default"/>
              <w:rPr>
                <w:sz w:val="22"/>
                <w:szCs w:val="22"/>
              </w:rPr>
            </w:pPr>
            <w:r w:rsidRPr="007A3D85">
              <w:rPr>
                <w:sz w:val="22"/>
                <w:szCs w:val="22"/>
              </w:rPr>
              <w:t xml:space="preserve">Combining functional imaging from XV with chest CT can predict PTX risk post-BLVR. Furthermore, this modeling confirms that lobe stiffness in both the target and ipsilateral lobes contributes to this PTX risk. This study </w:t>
            </w:r>
            <w:r>
              <w:rPr>
                <w:sz w:val="22"/>
                <w:szCs w:val="22"/>
              </w:rPr>
              <w:t>c</w:t>
            </w:r>
            <w:r w:rsidRPr="007A3D85">
              <w:rPr>
                <w:sz w:val="22"/>
                <w:szCs w:val="22"/>
              </w:rPr>
              <w:t>a</w:t>
            </w:r>
            <w:r>
              <w:rPr>
                <w:sz w:val="22"/>
                <w:szCs w:val="22"/>
              </w:rPr>
              <w:t>n</w:t>
            </w:r>
            <w:r w:rsidRPr="007A3D85">
              <w:rPr>
                <w:sz w:val="22"/>
                <w:szCs w:val="22"/>
              </w:rPr>
              <w:t xml:space="preserve"> potential</w:t>
            </w:r>
            <w:r>
              <w:rPr>
                <w:sz w:val="22"/>
                <w:szCs w:val="22"/>
              </w:rPr>
              <w:t>ly</w:t>
            </w:r>
            <w:r w:rsidRPr="007A3D85">
              <w:rPr>
                <w:sz w:val="22"/>
                <w:szCs w:val="22"/>
              </w:rPr>
              <w:t xml:space="preserve"> improve patient outcomes and alter clinical management in BLVR treatment. </w:t>
            </w:r>
          </w:p>
          <w:p w14:paraId="1BA2ECAC" w14:textId="77777777" w:rsidR="00B02F47" w:rsidRPr="000D181B" w:rsidRDefault="00B02F47" w:rsidP="00B02F47">
            <w:pPr>
              <w:pStyle w:val="Pa12"/>
              <w:jc w:val="both"/>
              <w:rPr>
                <w:color w:val="000000"/>
                <w:sz w:val="22"/>
                <w:szCs w:val="22"/>
              </w:rPr>
            </w:pPr>
            <w:r w:rsidRPr="007A3D85">
              <w:rPr>
                <w:rStyle w:val="A4"/>
                <w:b/>
                <w:bCs/>
              </w:rPr>
              <w:t xml:space="preserve">Grant Support: </w:t>
            </w:r>
            <w:r w:rsidRPr="007A3D85">
              <w:rPr>
                <w:rStyle w:val="A4"/>
              </w:rPr>
              <w:t>Supported by a grant from 4DMedical.</w:t>
            </w:r>
          </w:p>
          <w:p w14:paraId="545E4D90" w14:textId="77777777" w:rsidR="00B02F47" w:rsidRPr="007A3D85" w:rsidRDefault="00B02F47" w:rsidP="00B02F47">
            <w:pPr>
              <w:pStyle w:val="Default"/>
              <w:rPr>
                <w:sz w:val="22"/>
                <w:szCs w:val="22"/>
              </w:rPr>
            </w:pPr>
            <w:r w:rsidRPr="007A3D85">
              <w:rPr>
                <w:noProof/>
                <w:sz w:val="22"/>
                <w:szCs w:val="22"/>
              </w:rPr>
              <w:drawing>
                <wp:inline distT="0" distB="0" distL="0" distR="0" wp14:anchorId="62D1D494" wp14:editId="1EBB402D">
                  <wp:extent cx="4015740" cy="2553512"/>
                  <wp:effectExtent l="0" t="0" r="3810" b="0"/>
                  <wp:docPr id="8751505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975"/>
                          <a:stretch/>
                        </pic:blipFill>
                        <pic:spPr bwMode="auto">
                          <a:xfrm>
                            <a:off x="0" y="0"/>
                            <a:ext cx="4047440" cy="2573669"/>
                          </a:xfrm>
                          <a:prstGeom prst="rect">
                            <a:avLst/>
                          </a:prstGeom>
                          <a:noFill/>
                          <a:ln>
                            <a:noFill/>
                          </a:ln>
                          <a:extLst>
                            <a:ext uri="{53640926-AAD7-44D8-BBD7-CCE9431645EC}">
                              <a14:shadowObscured xmlns:a14="http://schemas.microsoft.com/office/drawing/2010/main"/>
                            </a:ext>
                          </a:extLst>
                        </pic:spPr>
                      </pic:pic>
                    </a:graphicData>
                  </a:graphic>
                </wp:inline>
              </w:drawing>
            </w:r>
          </w:p>
          <w:p w14:paraId="40D2674D" w14:textId="77777777" w:rsidR="00B02F47" w:rsidRPr="009F43DE" w:rsidRDefault="00B02F47" w:rsidP="00B02F47">
            <w:pPr>
              <w:pStyle w:val="Pa12"/>
              <w:jc w:val="both"/>
              <w:rPr>
                <w:rStyle w:val="A4"/>
                <w:sz w:val="20"/>
                <w:szCs w:val="20"/>
              </w:rPr>
            </w:pPr>
            <w:r w:rsidRPr="009F43DE">
              <w:rPr>
                <w:rStyle w:val="A4"/>
                <w:b/>
                <w:bCs/>
                <w:sz w:val="20"/>
                <w:szCs w:val="20"/>
              </w:rPr>
              <w:t xml:space="preserve">Figure 1: </w:t>
            </w:r>
            <w:r w:rsidRPr="009F43DE">
              <w:rPr>
                <w:rStyle w:val="A4"/>
                <w:sz w:val="20"/>
                <w:szCs w:val="20"/>
              </w:rPr>
              <w:t>ROC curve for the logistic regression model predicting PTX risk post-BLVR from imaging parameters.</w:t>
            </w:r>
          </w:p>
          <w:p w14:paraId="6C68AC9D" w14:textId="77777777" w:rsidR="006D4713" w:rsidRDefault="00C91C8C" w:rsidP="009C1987">
            <w:pPr>
              <w:pStyle w:val="Pa12"/>
              <w:rPr>
                <w:sz w:val="22"/>
                <w:szCs w:val="22"/>
              </w:rPr>
            </w:pPr>
            <w:r>
              <w:rPr>
                <w:sz w:val="22"/>
                <w:szCs w:val="22"/>
              </w:rPr>
              <w:br/>
            </w:r>
            <w:r>
              <w:rPr>
                <w:sz w:val="22"/>
                <w:szCs w:val="22"/>
              </w:rPr>
              <w:br/>
            </w:r>
            <w:r w:rsidR="006D4713">
              <w:rPr>
                <w:sz w:val="22"/>
                <w:szCs w:val="22"/>
              </w:rPr>
              <w:br/>
            </w:r>
            <w:r w:rsidR="006D4713">
              <w:rPr>
                <w:sz w:val="22"/>
                <w:szCs w:val="22"/>
              </w:rPr>
              <w:br/>
            </w:r>
            <w:r w:rsidR="006D4713">
              <w:rPr>
                <w:sz w:val="22"/>
                <w:szCs w:val="22"/>
              </w:rPr>
              <w:br/>
            </w:r>
            <w:r w:rsidR="006D4713">
              <w:rPr>
                <w:sz w:val="22"/>
                <w:szCs w:val="22"/>
              </w:rPr>
              <w:br/>
            </w:r>
            <w:r w:rsidR="006D4713">
              <w:rPr>
                <w:sz w:val="22"/>
                <w:szCs w:val="22"/>
              </w:rPr>
              <w:br/>
            </w:r>
            <w:r w:rsidR="006D4713">
              <w:rPr>
                <w:sz w:val="22"/>
                <w:szCs w:val="22"/>
              </w:rPr>
              <w:br/>
            </w:r>
            <w:r w:rsidR="006D4713">
              <w:rPr>
                <w:sz w:val="22"/>
                <w:szCs w:val="22"/>
              </w:rPr>
              <w:br/>
            </w:r>
            <w:r w:rsidR="006D4713">
              <w:rPr>
                <w:sz w:val="22"/>
                <w:szCs w:val="22"/>
              </w:rPr>
              <w:br/>
            </w:r>
            <w:r w:rsidR="006D4713">
              <w:rPr>
                <w:sz w:val="22"/>
                <w:szCs w:val="22"/>
              </w:rPr>
              <w:br/>
            </w:r>
          </w:p>
          <w:p w14:paraId="6C68AC9E" w14:textId="77777777" w:rsidR="006D4713" w:rsidRDefault="006D4713" w:rsidP="009C1987">
            <w:pPr>
              <w:pStyle w:val="Default"/>
            </w:pPr>
          </w:p>
          <w:p w14:paraId="6C68AC9F" w14:textId="77777777" w:rsidR="006D4713" w:rsidRPr="003E35F0" w:rsidRDefault="006D4713" w:rsidP="009C1987">
            <w:pPr>
              <w:pStyle w:val="Default"/>
            </w:pPr>
          </w:p>
          <w:p w14:paraId="6C68ACA0" w14:textId="77777777" w:rsidR="006D4713" w:rsidRPr="0050053A" w:rsidRDefault="006D4713" w:rsidP="009C1987">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6C68ACA1" w14:textId="77777777" w:rsidR="006D4713" w:rsidRPr="0050053A" w:rsidRDefault="006D4713" w:rsidP="009C1987">
            <w:pPr>
              <w:pStyle w:val="Default"/>
              <w:rPr>
                <w:rStyle w:val="A4"/>
                <w:bCs/>
              </w:rPr>
            </w:pPr>
          </w:p>
          <w:p w14:paraId="6C68ACA2" w14:textId="77777777" w:rsidR="006D4713" w:rsidRPr="0050053A" w:rsidRDefault="006D4713" w:rsidP="009C1987">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6C68ACA4" w14:textId="77777777" w:rsidR="00EE3EA8" w:rsidRDefault="00EE3EA8"/>
    <w:sectPr w:rsidR="00EE3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13"/>
    <w:rsid w:val="002B4988"/>
    <w:rsid w:val="00323005"/>
    <w:rsid w:val="00361F7E"/>
    <w:rsid w:val="003F0690"/>
    <w:rsid w:val="00487EC0"/>
    <w:rsid w:val="005A08A2"/>
    <w:rsid w:val="005B3C80"/>
    <w:rsid w:val="006438E9"/>
    <w:rsid w:val="006D4713"/>
    <w:rsid w:val="00752808"/>
    <w:rsid w:val="009656B9"/>
    <w:rsid w:val="00983A49"/>
    <w:rsid w:val="00A9355D"/>
    <w:rsid w:val="00B02F47"/>
    <w:rsid w:val="00B057FB"/>
    <w:rsid w:val="00C91C8C"/>
    <w:rsid w:val="00D02B65"/>
    <w:rsid w:val="00ED34E9"/>
    <w:rsid w:val="00EE3E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8AC7F"/>
  <w15:docId w15:val="{88FE7ED1-9FFF-479E-AC81-1F38E9E8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7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713"/>
    <w:pPr>
      <w:autoSpaceDE w:val="0"/>
      <w:autoSpaceDN w:val="0"/>
      <w:adjustRightInd w:val="0"/>
      <w:spacing w:after="0" w:line="240" w:lineRule="auto"/>
    </w:pPr>
    <w:rPr>
      <w:rFonts w:ascii="Arial" w:eastAsia="Times New Roman" w:hAnsi="Arial" w:cs="Arial"/>
      <w:color w:val="000000"/>
      <w:sz w:val="24"/>
      <w:szCs w:val="24"/>
      <w:lang w:eastAsia="en-NZ"/>
    </w:rPr>
  </w:style>
  <w:style w:type="character" w:customStyle="1" w:styleId="A4">
    <w:name w:val="A4"/>
    <w:uiPriority w:val="99"/>
    <w:rsid w:val="006D4713"/>
    <w:rPr>
      <w:color w:val="000000"/>
      <w:sz w:val="22"/>
      <w:szCs w:val="22"/>
    </w:rPr>
  </w:style>
  <w:style w:type="paragraph" w:customStyle="1" w:styleId="Pa12">
    <w:name w:val="Pa12"/>
    <w:basedOn w:val="Default"/>
    <w:next w:val="Default"/>
    <w:uiPriority w:val="99"/>
    <w:rsid w:val="006D4713"/>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F4F672-65C7-4353-928D-B4D5EF8A606F}"/>
</file>

<file path=customXml/itemProps2.xml><?xml version="1.0" encoding="utf-8"?>
<ds:datastoreItem xmlns:ds="http://schemas.openxmlformats.org/officeDocument/2006/customXml" ds:itemID="{8810A034-3CE3-4046-9BD9-8F5BBDBD3274}">
  <ds:schemaRefs>
    <ds:schemaRef ds:uri="http://schemas.microsoft.com/sharepoint/v3/contenttype/forms"/>
  </ds:schemaRefs>
</ds:datastoreItem>
</file>

<file path=customXml/itemProps3.xml><?xml version="1.0" encoding="utf-8"?>
<ds:datastoreItem xmlns:ds="http://schemas.openxmlformats.org/officeDocument/2006/customXml" ds:itemID="{DACBD194-A1E0-4107-8F2F-F5DDCC7D135A}">
  <ds:schemaRef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documentManagement/types"/>
    <ds:schemaRef ds:uri="6911e96c-4cc4-42d5-8e43-f93924cf6a05"/>
    <ds:schemaRef ds:uri="9c8a2b7b-0bee-4c48-b0a6-23db8982d3bc"/>
    <ds:schemaRef ds:uri="http://purl.org/dc/dcmitype/"/>
    <ds:schemaRef ds:uri="cab52c9b-ab33-4221-8af9-54f8f2b86a8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2113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onsite6</dc:creator>
  <cp:lastModifiedBy>Leah McLeod</cp:lastModifiedBy>
  <cp:revision>2</cp:revision>
  <dcterms:created xsi:type="dcterms:W3CDTF">2024-12-08T21:49:00Z</dcterms:created>
  <dcterms:modified xsi:type="dcterms:W3CDTF">2024-12-08T21:49:00Z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GrammarlyDocumentId">
    <vt:lpwstr>bbbeb231bab92b2af9adae769fc91583f46c22bf4c236e12fd02117182698e12</vt:lpwstr>
  </property>
</Properties>
</file>