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79DD" w14:textId="6868BD11" w:rsidR="00A362F6" w:rsidRPr="003B07E7" w:rsidRDefault="003B07E7">
      <w:pPr>
        <w:jc w:val="center"/>
        <w:rPr>
          <w:rFonts w:ascii="Arial" w:eastAsia="PingFang SC" w:hAnsi="Arial" w:cs="Arial"/>
          <w:color w:val="2A2F45"/>
          <w:sz w:val="22"/>
          <w:szCs w:val="22"/>
          <w:shd w:val="clear" w:color="auto" w:fill="FFFFFF"/>
        </w:rPr>
      </w:pPr>
      <w:r w:rsidRPr="003B07E7">
        <w:rPr>
          <w:rFonts w:ascii="Arial" w:eastAsia="PingFang SC" w:hAnsi="Arial" w:cs="Arial"/>
          <w:color w:val="2A2F45"/>
          <w:sz w:val="22"/>
          <w:szCs w:val="22"/>
          <w:shd w:val="clear" w:color="auto" w:fill="FFFFFF"/>
        </w:rPr>
        <w:t xml:space="preserve">Hypoglycemia in </w:t>
      </w:r>
      <w:r>
        <w:rPr>
          <w:rFonts w:ascii="Arial" w:eastAsia="PingFang SC" w:hAnsi="Arial" w:cs="Arial"/>
          <w:color w:val="2A2F45"/>
          <w:sz w:val="22"/>
          <w:szCs w:val="22"/>
          <w:shd w:val="clear" w:color="auto" w:fill="FFFFFF"/>
        </w:rPr>
        <w:t>h</w:t>
      </w:r>
      <w:r w:rsidRPr="003B07E7">
        <w:rPr>
          <w:rFonts w:ascii="Arial" w:eastAsia="PingFang SC" w:hAnsi="Arial" w:cs="Arial"/>
          <w:color w:val="2A2F45"/>
          <w:sz w:val="22"/>
          <w:szCs w:val="22"/>
          <w:shd w:val="clear" w:color="auto" w:fill="FFFFFF"/>
        </w:rPr>
        <w:t xml:space="preserve">ospitalized </w:t>
      </w:r>
      <w:r>
        <w:rPr>
          <w:rFonts w:ascii="Arial" w:eastAsia="PingFang SC" w:hAnsi="Arial" w:cs="Arial"/>
          <w:color w:val="2A2F45"/>
          <w:sz w:val="22"/>
          <w:szCs w:val="22"/>
          <w:shd w:val="clear" w:color="auto" w:fill="FFFFFF"/>
        </w:rPr>
        <w:t>p</w:t>
      </w:r>
      <w:r w:rsidRPr="003B07E7">
        <w:rPr>
          <w:rFonts w:ascii="Arial" w:eastAsia="PingFang SC" w:hAnsi="Arial" w:cs="Arial"/>
          <w:color w:val="2A2F45"/>
          <w:sz w:val="22"/>
          <w:szCs w:val="22"/>
          <w:shd w:val="clear" w:color="auto" w:fill="FFFFFF"/>
        </w:rPr>
        <w:t xml:space="preserve">atients with </w:t>
      </w:r>
      <w:r>
        <w:rPr>
          <w:rFonts w:ascii="Arial" w:eastAsia="PingFang SC" w:hAnsi="Arial" w:cs="Arial"/>
          <w:color w:val="2A2F45"/>
          <w:sz w:val="22"/>
          <w:szCs w:val="22"/>
          <w:shd w:val="clear" w:color="auto" w:fill="FFFFFF"/>
        </w:rPr>
        <w:t>d</w:t>
      </w:r>
      <w:r w:rsidRPr="003B07E7">
        <w:rPr>
          <w:rFonts w:ascii="Arial" w:eastAsia="PingFang SC" w:hAnsi="Arial" w:cs="Arial"/>
          <w:color w:val="2A2F45"/>
          <w:sz w:val="22"/>
          <w:szCs w:val="22"/>
          <w:shd w:val="clear" w:color="auto" w:fill="FFFFFF"/>
        </w:rPr>
        <w:t xml:space="preserve">iabetes: Incidence, </w:t>
      </w:r>
      <w:r>
        <w:rPr>
          <w:rFonts w:ascii="Arial" w:eastAsia="PingFang SC" w:hAnsi="Arial" w:cs="Arial"/>
          <w:color w:val="2A2F45"/>
          <w:sz w:val="22"/>
          <w:szCs w:val="22"/>
          <w:shd w:val="clear" w:color="auto" w:fill="FFFFFF"/>
        </w:rPr>
        <w:t>t</w:t>
      </w:r>
      <w:r w:rsidRPr="003B07E7">
        <w:rPr>
          <w:rFonts w:ascii="Arial" w:eastAsia="PingFang SC" w:hAnsi="Arial" w:cs="Arial"/>
          <w:color w:val="2A2F45"/>
          <w:sz w:val="22"/>
          <w:szCs w:val="22"/>
          <w:shd w:val="clear" w:color="auto" w:fill="FFFFFF"/>
        </w:rPr>
        <w:t xml:space="preserve">iming, and </w:t>
      </w:r>
      <w:r>
        <w:rPr>
          <w:rFonts w:ascii="Arial" w:eastAsia="PingFang SC" w:hAnsi="Arial" w:cs="Arial"/>
          <w:color w:val="2A2F45"/>
          <w:sz w:val="22"/>
          <w:szCs w:val="22"/>
          <w:shd w:val="clear" w:color="auto" w:fill="FFFFFF"/>
        </w:rPr>
        <w:t>a</w:t>
      </w:r>
      <w:r w:rsidRPr="003B07E7">
        <w:rPr>
          <w:rFonts w:ascii="Arial" w:eastAsia="PingFang SC" w:hAnsi="Arial" w:cs="Arial"/>
          <w:color w:val="2A2F45"/>
          <w:sz w:val="22"/>
          <w:szCs w:val="22"/>
          <w:shd w:val="clear" w:color="auto" w:fill="FFFFFF"/>
        </w:rPr>
        <w:t xml:space="preserve">ssociated </w:t>
      </w:r>
      <w:r>
        <w:rPr>
          <w:rFonts w:ascii="Arial" w:eastAsia="PingFang SC" w:hAnsi="Arial" w:cs="Arial"/>
          <w:color w:val="2A2F45"/>
          <w:sz w:val="22"/>
          <w:szCs w:val="22"/>
          <w:shd w:val="clear" w:color="auto" w:fill="FFFFFF"/>
        </w:rPr>
        <w:t>n</w:t>
      </w:r>
      <w:r w:rsidRPr="003B07E7">
        <w:rPr>
          <w:rFonts w:ascii="Arial" w:eastAsia="PingFang SC" w:hAnsi="Arial" w:cs="Arial"/>
          <w:color w:val="2A2F45"/>
          <w:sz w:val="22"/>
          <w:szCs w:val="22"/>
          <w:shd w:val="clear" w:color="auto" w:fill="FFFFFF"/>
        </w:rPr>
        <w:t>ursing-</w:t>
      </w:r>
      <w:r>
        <w:rPr>
          <w:rFonts w:ascii="Arial" w:eastAsia="PingFang SC" w:hAnsi="Arial" w:cs="Arial"/>
          <w:color w:val="2A2F45"/>
          <w:sz w:val="22"/>
          <w:szCs w:val="22"/>
          <w:shd w:val="clear" w:color="auto" w:fill="FFFFFF"/>
        </w:rPr>
        <w:t>r</w:t>
      </w:r>
      <w:r w:rsidRPr="003B07E7">
        <w:rPr>
          <w:rFonts w:ascii="Arial" w:eastAsia="PingFang SC" w:hAnsi="Arial" w:cs="Arial"/>
          <w:color w:val="2A2F45"/>
          <w:sz w:val="22"/>
          <w:szCs w:val="22"/>
          <w:shd w:val="clear" w:color="auto" w:fill="FFFFFF"/>
        </w:rPr>
        <w:t xml:space="preserve">elated </w:t>
      </w:r>
      <w:r>
        <w:rPr>
          <w:rFonts w:ascii="Arial" w:eastAsia="PingFang SC" w:hAnsi="Arial" w:cs="Arial"/>
          <w:color w:val="2A2F45"/>
          <w:sz w:val="22"/>
          <w:szCs w:val="22"/>
          <w:shd w:val="clear" w:color="auto" w:fill="FFFFFF"/>
        </w:rPr>
        <w:t>r</w:t>
      </w:r>
      <w:r w:rsidRPr="003B07E7">
        <w:rPr>
          <w:rFonts w:ascii="Arial" w:eastAsia="PingFang SC" w:hAnsi="Arial" w:cs="Arial"/>
          <w:color w:val="2A2F45"/>
          <w:sz w:val="22"/>
          <w:szCs w:val="22"/>
          <w:shd w:val="clear" w:color="auto" w:fill="FFFFFF"/>
        </w:rPr>
        <w:t xml:space="preserve">isk </w:t>
      </w:r>
      <w:r>
        <w:rPr>
          <w:rFonts w:ascii="Arial" w:eastAsia="PingFang SC" w:hAnsi="Arial" w:cs="Arial"/>
          <w:color w:val="2A2F45"/>
          <w:sz w:val="22"/>
          <w:szCs w:val="22"/>
          <w:shd w:val="clear" w:color="auto" w:fill="FFFFFF"/>
        </w:rPr>
        <w:t>f</w:t>
      </w:r>
      <w:r w:rsidRPr="003B07E7">
        <w:rPr>
          <w:rFonts w:ascii="Arial" w:eastAsia="PingFang SC" w:hAnsi="Arial" w:cs="Arial"/>
          <w:color w:val="2A2F45"/>
          <w:sz w:val="22"/>
          <w:szCs w:val="22"/>
          <w:shd w:val="clear" w:color="auto" w:fill="FFFFFF"/>
        </w:rPr>
        <w:t xml:space="preserve">actors in a </w:t>
      </w:r>
      <w:r>
        <w:rPr>
          <w:rFonts w:ascii="Arial" w:eastAsia="PingFang SC" w:hAnsi="Arial" w:cs="Arial"/>
          <w:color w:val="2A2F45"/>
          <w:sz w:val="22"/>
          <w:szCs w:val="22"/>
          <w:shd w:val="clear" w:color="auto" w:fill="FFFFFF"/>
        </w:rPr>
        <w:t>t</w:t>
      </w:r>
      <w:r w:rsidRPr="003B07E7">
        <w:rPr>
          <w:rFonts w:ascii="Arial" w:eastAsia="PingFang SC" w:hAnsi="Arial" w:cs="Arial"/>
          <w:color w:val="2A2F45"/>
          <w:sz w:val="22"/>
          <w:szCs w:val="22"/>
          <w:shd w:val="clear" w:color="auto" w:fill="FFFFFF"/>
        </w:rPr>
        <w:t xml:space="preserve">ertiary </w:t>
      </w:r>
      <w:r>
        <w:rPr>
          <w:rFonts w:ascii="Arial" w:eastAsia="PingFang SC" w:hAnsi="Arial" w:cs="Arial"/>
          <w:color w:val="2A2F45"/>
          <w:sz w:val="22"/>
          <w:szCs w:val="22"/>
          <w:shd w:val="clear" w:color="auto" w:fill="FFFFFF"/>
        </w:rPr>
        <w:t>h</w:t>
      </w:r>
      <w:r w:rsidRPr="003B07E7">
        <w:rPr>
          <w:rFonts w:ascii="Arial" w:eastAsia="PingFang SC" w:hAnsi="Arial" w:cs="Arial"/>
          <w:color w:val="2A2F45"/>
          <w:sz w:val="22"/>
          <w:szCs w:val="22"/>
          <w:shd w:val="clear" w:color="auto" w:fill="FFFFFF"/>
        </w:rPr>
        <w:t>ospital</w:t>
      </w:r>
      <w:r w:rsidRPr="003B07E7">
        <w:rPr>
          <w:rFonts w:ascii="Arial" w:eastAsia="PingFang SC" w:hAnsi="Arial" w:cs="Arial"/>
          <w:color w:val="2A2F45"/>
          <w:sz w:val="22"/>
          <w:szCs w:val="22"/>
          <w:shd w:val="clear" w:color="auto" w:fill="FFFFFF"/>
        </w:rPr>
        <w:br/>
      </w:r>
      <w:r w:rsidRPr="003B07E7">
        <w:rPr>
          <w:rFonts w:ascii="Arial" w:eastAsia="PingFang SC" w:hAnsi="Arial" w:cs="Arial"/>
          <w:color w:val="2A2F45"/>
          <w:sz w:val="22"/>
          <w:szCs w:val="22"/>
          <w:shd w:val="clear" w:color="auto" w:fill="FFFFFF"/>
        </w:rPr>
        <w:br/>
      </w:r>
    </w:p>
    <w:p w14:paraId="78A1E306" w14:textId="77777777" w:rsidR="003B07E7" w:rsidRDefault="003B07E7">
      <w:pPr>
        <w:adjustRightInd w:val="0"/>
        <w:snapToGrid w:val="0"/>
        <w:spacing w:line="360" w:lineRule="auto"/>
        <w:jc w:val="left"/>
        <w:rPr>
          <w:rFonts w:ascii="Arial" w:eastAsia="PingFang SC" w:hAnsi="Arial" w:cs="Arial"/>
          <w:color w:val="2A2F45"/>
          <w:sz w:val="22"/>
          <w:szCs w:val="22"/>
          <w:shd w:val="clear" w:color="auto" w:fill="FFFFFF"/>
        </w:rPr>
      </w:pPr>
      <w:r w:rsidRPr="003B07E7">
        <w:rPr>
          <w:rFonts w:ascii="Arial" w:eastAsia="PingFang SC" w:hAnsi="Arial" w:cs="Arial"/>
          <w:b/>
          <w:bCs/>
          <w:color w:val="2A2F45"/>
          <w:sz w:val="22"/>
          <w:szCs w:val="22"/>
          <w:shd w:val="clear" w:color="auto" w:fill="FFFFFF"/>
        </w:rPr>
        <w:t>Objective</w:t>
      </w:r>
      <w:r w:rsidRPr="003B07E7">
        <w:rPr>
          <w:rFonts w:ascii="Arial" w:eastAsia="PingFang SC" w:hAnsi="Arial" w:cs="Arial"/>
          <w:color w:val="2A2F45"/>
          <w:sz w:val="22"/>
          <w:szCs w:val="22"/>
          <w:shd w:val="clear" w:color="auto" w:fill="FFFFFF"/>
        </w:rPr>
        <w:t xml:space="preserve">: To identify the incidence and patterns of hypoglycemia and determine associated </w:t>
      </w:r>
      <w:r w:rsidRPr="003B07E7">
        <w:rPr>
          <w:rFonts w:ascii="Arial" w:eastAsia="PingFang SC" w:hAnsi="Arial" w:cs="Arial"/>
          <w:color w:val="2A2F45"/>
          <w:sz w:val="22"/>
          <w:szCs w:val="22"/>
          <w:shd w:val="clear" w:color="auto" w:fill="FFFFFF"/>
        </w:rPr>
        <w:t>nursing-related risk factors</w:t>
      </w:r>
      <w:r w:rsidRPr="003B07E7">
        <w:rPr>
          <w:rFonts w:ascii="Arial" w:hAnsi="Arial" w:cs="Arial"/>
          <w:color w:val="2A2F45"/>
          <w:sz w:val="22"/>
          <w:szCs w:val="22"/>
          <w:shd w:val="clear" w:color="auto" w:fill="FFFFFF"/>
        </w:rPr>
        <w:t xml:space="preserve"> </w:t>
      </w:r>
      <w:r w:rsidRPr="003B07E7">
        <w:rPr>
          <w:rFonts w:ascii="Arial" w:hAnsi="Arial" w:cs="Arial"/>
          <w:color w:val="2A2F45"/>
          <w:sz w:val="22"/>
          <w:szCs w:val="22"/>
          <w:shd w:val="clear" w:color="auto" w:fill="FFFFFF"/>
        </w:rPr>
        <w:t>in hospitalized patients with diabetes, informing targeted prevention strategies.</w:t>
      </w:r>
      <w:r w:rsidRPr="003B07E7">
        <w:rPr>
          <w:rFonts w:ascii="Arial" w:hAnsi="Arial" w:cs="Arial"/>
          <w:color w:val="2A2F45"/>
          <w:sz w:val="22"/>
          <w:szCs w:val="22"/>
          <w:shd w:val="clear" w:color="auto" w:fill="FFFFFF"/>
        </w:rPr>
        <w:t xml:space="preserve"> </w:t>
      </w:r>
      <w:r w:rsidRPr="003B07E7">
        <w:rPr>
          <w:rFonts w:ascii="Arial" w:eastAsia="PingFang SC" w:hAnsi="Arial" w:cs="Arial"/>
          <w:color w:val="2A2F45"/>
          <w:sz w:val="22"/>
          <w:szCs w:val="22"/>
          <w:shd w:val="clear" w:color="auto" w:fill="FFFFFF"/>
        </w:rPr>
        <w:t xml:space="preserve"> </w:t>
      </w:r>
      <w:r w:rsidRPr="003B07E7">
        <w:rPr>
          <w:rFonts w:ascii="Arial" w:eastAsia="PingFang SC" w:hAnsi="Arial" w:cs="Arial"/>
          <w:color w:val="2A2F45"/>
          <w:sz w:val="22"/>
          <w:szCs w:val="22"/>
          <w:shd w:val="clear" w:color="auto" w:fill="FFFFFF"/>
        </w:rPr>
        <w:br/>
      </w:r>
      <w:r w:rsidRPr="003B07E7">
        <w:rPr>
          <w:rFonts w:ascii="Arial" w:eastAsia="PingFang SC" w:hAnsi="Arial" w:cs="Arial"/>
          <w:color w:val="2A2F45"/>
          <w:sz w:val="22"/>
          <w:szCs w:val="22"/>
          <w:shd w:val="clear" w:color="auto" w:fill="FFFFFF"/>
        </w:rPr>
        <w:br/>
      </w:r>
      <w:r w:rsidRPr="003B07E7">
        <w:rPr>
          <w:rFonts w:ascii="Arial" w:eastAsia="PingFang SC" w:hAnsi="Arial" w:cs="Arial"/>
          <w:b/>
          <w:bCs/>
          <w:color w:val="2A2F45"/>
          <w:sz w:val="22"/>
          <w:szCs w:val="22"/>
          <w:shd w:val="clear" w:color="auto" w:fill="FFFFFF"/>
        </w:rPr>
        <w:t>Methods</w:t>
      </w:r>
      <w:r w:rsidRPr="003B07E7">
        <w:rPr>
          <w:rFonts w:ascii="Arial" w:eastAsia="PingFang SC" w:hAnsi="Arial" w:cs="Arial"/>
          <w:color w:val="2A2F45"/>
          <w:sz w:val="22"/>
          <w:szCs w:val="22"/>
          <w:shd w:val="clear" w:color="auto" w:fill="FFFFFF"/>
        </w:rPr>
        <w:t xml:space="preserve">: </w:t>
      </w:r>
      <w:r w:rsidRPr="003B07E7">
        <w:rPr>
          <w:rFonts w:ascii="Arial" w:eastAsia="SimSun" w:hAnsi="Arial" w:cs="Arial"/>
          <w:color w:val="2A2F45"/>
          <w:sz w:val="22"/>
          <w:szCs w:val="22"/>
          <w:shd w:val="clear" w:color="auto" w:fill="FFFFFF"/>
        </w:rPr>
        <w:t>This</w:t>
      </w:r>
      <w:r w:rsidRPr="003B07E7">
        <w:rPr>
          <w:rFonts w:ascii="Arial" w:eastAsia="PingFang SC" w:hAnsi="Arial" w:cs="Arial"/>
          <w:color w:val="2A2F45"/>
          <w:sz w:val="22"/>
          <w:szCs w:val="22"/>
          <w:shd w:val="clear" w:color="auto" w:fill="FFFFFF"/>
        </w:rPr>
        <w:t xml:space="preserve"> cross-sectional </w:t>
      </w:r>
      <w:proofErr w:type="gramStart"/>
      <w:r w:rsidRPr="003B07E7">
        <w:rPr>
          <w:rFonts w:ascii="Arial" w:eastAsia="PingFang SC" w:hAnsi="Arial" w:cs="Arial"/>
          <w:color w:val="2A2F45"/>
          <w:sz w:val="22"/>
          <w:szCs w:val="22"/>
          <w:shd w:val="clear" w:color="auto" w:fill="FFFFFF"/>
        </w:rPr>
        <w:t>study  analyzed</w:t>
      </w:r>
      <w:proofErr w:type="gramEnd"/>
      <w:r w:rsidRPr="003B07E7">
        <w:rPr>
          <w:rFonts w:ascii="Arial" w:eastAsia="PingFang SC" w:hAnsi="Arial" w:cs="Arial"/>
          <w:color w:val="2A2F45"/>
          <w:sz w:val="22"/>
          <w:szCs w:val="22"/>
          <w:shd w:val="clear" w:color="auto" w:fill="FFFFFF"/>
        </w:rPr>
        <w:t xml:space="preserve"> data from 24,679 </w:t>
      </w:r>
      <w:proofErr w:type="spellStart"/>
      <w:r w:rsidRPr="003B07E7">
        <w:rPr>
          <w:rFonts w:ascii="Arial" w:eastAsia="SimSun" w:hAnsi="Arial" w:cs="Arial"/>
          <w:color w:val="2A2F45"/>
          <w:sz w:val="22"/>
          <w:szCs w:val="22"/>
          <w:shd w:val="clear" w:color="auto" w:fill="FFFFFF"/>
        </w:rPr>
        <w:t>in</w:t>
      </w:r>
      <w:r w:rsidRPr="003B07E7">
        <w:rPr>
          <w:rFonts w:ascii="Arial" w:eastAsia="PingFang SC" w:hAnsi="Arial" w:cs="Arial"/>
          <w:color w:val="2A2F45"/>
          <w:sz w:val="22"/>
          <w:szCs w:val="22"/>
          <w:shd w:val="clear" w:color="auto" w:fill="FFFFFF"/>
        </w:rPr>
        <w:t>patients</w:t>
      </w:r>
      <w:proofErr w:type="spellEnd"/>
      <w:r w:rsidRPr="003B07E7">
        <w:rPr>
          <w:rFonts w:ascii="Arial" w:eastAsia="PingFang SC" w:hAnsi="Arial" w:cs="Arial"/>
          <w:color w:val="2A2F45"/>
          <w:sz w:val="22"/>
          <w:szCs w:val="22"/>
          <w:shd w:val="clear" w:color="auto" w:fill="FFFFFF"/>
        </w:rPr>
        <w:t xml:space="preserve"> </w:t>
      </w:r>
      <w:r w:rsidRPr="003B07E7">
        <w:rPr>
          <w:rFonts w:ascii="Arial" w:eastAsia="SimSun" w:hAnsi="Arial" w:cs="Arial"/>
          <w:color w:val="2A2F45"/>
          <w:sz w:val="22"/>
          <w:szCs w:val="22"/>
          <w:shd w:val="clear" w:color="auto" w:fill="FFFFFF"/>
        </w:rPr>
        <w:t xml:space="preserve">with diabetes </w:t>
      </w:r>
      <w:r w:rsidRPr="003B07E7">
        <w:rPr>
          <w:rFonts w:ascii="Arial" w:eastAsia="SimSun" w:hAnsi="Arial" w:cs="Arial"/>
          <w:color w:val="2A2F45"/>
          <w:sz w:val="22"/>
          <w:szCs w:val="22"/>
          <w:shd w:val="clear" w:color="auto" w:fill="FFFFFF"/>
        </w:rPr>
        <w:t>at a tertiary hospital (</w:t>
      </w:r>
      <w:r w:rsidRPr="003B07E7">
        <w:rPr>
          <w:rFonts w:ascii="Arial" w:eastAsia="PingFang SC" w:hAnsi="Arial" w:cs="Arial"/>
          <w:color w:val="2A2F45"/>
          <w:sz w:val="22"/>
          <w:szCs w:val="22"/>
          <w:shd w:val="clear" w:color="auto" w:fill="FFFFFF"/>
        </w:rPr>
        <w:t>January 202</w:t>
      </w:r>
      <w:r w:rsidRPr="003B07E7">
        <w:rPr>
          <w:rFonts w:ascii="Arial" w:eastAsia="SimSun" w:hAnsi="Arial" w:cs="Arial"/>
          <w:color w:val="2A2F45"/>
          <w:sz w:val="22"/>
          <w:szCs w:val="22"/>
          <w:shd w:val="clear" w:color="auto" w:fill="FFFFFF"/>
        </w:rPr>
        <w:t>3</w:t>
      </w:r>
      <w:r w:rsidRPr="003B07E7">
        <w:rPr>
          <w:rFonts w:ascii="Arial" w:eastAsia="PingFang SC" w:hAnsi="Arial" w:cs="Arial"/>
          <w:color w:val="2A2F45"/>
          <w:sz w:val="22"/>
          <w:szCs w:val="22"/>
          <w:shd w:val="clear" w:color="auto" w:fill="FFFFFF"/>
        </w:rPr>
        <w:t xml:space="preserve"> – March 2025). Data on demographics, hypoglycemic treatments, and blood glucose monitoring (frequency, values, times) were extracted from Hospital Information System and Blood Glucose Management System Multivariate logistic regression identified factors associated with hypoglycemia. </w:t>
      </w:r>
      <w:r w:rsidRPr="003B07E7">
        <w:rPr>
          <w:rFonts w:ascii="Arial" w:eastAsia="PingFang SC" w:hAnsi="Arial" w:cs="Arial"/>
          <w:color w:val="2A2F45"/>
          <w:sz w:val="22"/>
          <w:szCs w:val="22"/>
          <w:shd w:val="clear" w:color="auto" w:fill="FFFFFF"/>
        </w:rPr>
        <w:br/>
      </w:r>
      <w:r w:rsidRPr="003B07E7">
        <w:rPr>
          <w:rFonts w:ascii="Arial" w:eastAsia="PingFang SC" w:hAnsi="Arial" w:cs="Arial"/>
          <w:color w:val="2A2F45"/>
          <w:sz w:val="22"/>
          <w:szCs w:val="22"/>
          <w:shd w:val="clear" w:color="auto" w:fill="FFFFFF"/>
        </w:rPr>
        <w:br/>
      </w:r>
      <w:r w:rsidRPr="003B07E7">
        <w:rPr>
          <w:rFonts w:ascii="Arial" w:eastAsia="PingFang SC" w:hAnsi="Arial" w:cs="Arial"/>
          <w:b/>
          <w:bCs/>
          <w:color w:val="2A2F45"/>
          <w:sz w:val="22"/>
          <w:szCs w:val="22"/>
          <w:shd w:val="clear" w:color="auto" w:fill="FFFFFF"/>
        </w:rPr>
        <w:t>Results</w:t>
      </w:r>
      <w:r w:rsidRPr="003B07E7">
        <w:rPr>
          <w:rFonts w:ascii="Arial" w:eastAsia="PingFang SC" w:hAnsi="Arial" w:cs="Arial"/>
          <w:color w:val="2A2F45"/>
          <w:sz w:val="22"/>
          <w:szCs w:val="22"/>
          <w:shd w:val="clear" w:color="auto" w:fill="FFFFFF"/>
        </w:rPr>
        <w:t>: Overall, 5,968 hypoglycemic events occurred during 184,845 hospitalization days (3.23 events per 100 patient-days). Patients aged 70–79 years experienced the highest proportion of events (32.37%). Hypoglycemia was mo</w:t>
      </w:r>
      <w:r w:rsidRPr="003B07E7">
        <w:rPr>
          <w:rFonts w:ascii="Arial" w:eastAsia="PingFang SC" w:hAnsi="Arial" w:cs="Arial"/>
          <w:color w:val="2A2F45"/>
          <w:sz w:val="22"/>
          <w:szCs w:val="22"/>
          <w:shd w:val="clear" w:color="auto" w:fill="FFFFFF"/>
        </w:rPr>
        <w:t>st frequent before breakfast (37.05% of events, reflecting nocturnal periods), followed by pre-lunch (13.57%) and pre-dinner (13.72%). Key independent predictors of hypoglycemia included: abnormal renal function (OR=5.6, 95% CI 2.8–11.3), impaired liver function (OR=2.5, 95% CI 1.3–4.7), insufficient energy intake (OR=4.2, 95% CI 2.1–8.4), delayed or improper management of a previous hypoglycemic event (OR=4.2, 95% CI 2.8–6.3), blood glucose monitoring &lt;4 times/day (OR=1.9, 95% CI 1.2–3.0), intensive insuli</w:t>
      </w:r>
      <w:r w:rsidRPr="003B07E7">
        <w:rPr>
          <w:rFonts w:ascii="Arial" w:eastAsia="PingFang SC" w:hAnsi="Arial" w:cs="Arial"/>
          <w:color w:val="2A2F45"/>
          <w:sz w:val="22"/>
          <w:szCs w:val="22"/>
          <w:shd w:val="clear" w:color="auto" w:fill="FFFFFF"/>
        </w:rPr>
        <w:t xml:space="preserve">n therapy (OR=3.1, 95% CI 1.9–5.2), failure to adjust hypoglycemic therapy with changes in other treatments (OR=2.8, 95% CI 1.9–4.1), and fasting &gt;12 hours (OR=2.8, 95% CI 1.6–4.9). </w:t>
      </w:r>
    </w:p>
    <w:p w14:paraId="157879DF" w14:textId="2AC23CC4" w:rsidR="00A362F6" w:rsidRPr="003B07E7" w:rsidRDefault="003B07E7">
      <w:pPr>
        <w:adjustRightInd w:val="0"/>
        <w:snapToGrid w:val="0"/>
        <w:spacing w:line="360" w:lineRule="auto"/>
        <w:jc w:val="left"/>
        <w:rPr>
          <w:rFonts w:ascii="Arial" w:hAnsi="Arial" w:cs="Arial"/>
          <w:sz w:val="22"/>
          <w:szCs w:val="22"/>
        </w:rPr>
      </w:pPr>
      <w:r w:rsidRPr="003B07E7">
        <w:rPr>
          <w:rFonts w:ascii="Arial" w:eastAsia="PingFang SC" w:hAnsi="Arial" w:cs="Arial"/>
          <w:color w:val="2A2F45"/>
          <w:sz w:val="22"/>
          <w:szCs w:val="22"/>
          <w:shd w:val="clear" w:color="auto" w:fill="FFFFFF"/>
        </w:rPr>
        <w:br/>
      </w:r>
      <w:r w:rsidRPr="003B07E7">
        <w:rPr>
          <w:rFonts w:ascii="Arial" w:eastAsia="PingFang SC" w:hAnsi="Arial" w:cs="Arial"/>
          <w:b/>
          <w:bCs/>
          <w:color w:val="2A2F45"/>
          <w:sz w:val="22"/>
          <w:szCs w:val="22"/>
          <w:shd w:val="clear" w:color="auto" w:fill="FFFFFF"/>
        </w:rPr>
        <w:t>Conclusion</w:t>
      </w:r>
      <w:r w:rsidRPr="003B07E7">
        <w:rPr>
          <w:rFonts w:ascii="Arial" w:eastAsia="PingFang SC" w:hAnsi="Arial" w:cs="Arial"/>
          <w:color w:val="2A2F45"/>
          <w:sz w:val="22"/>
          <w:szCs w:val="22"/>
          <w:shd w:val="clear" w:color="auto" w:fill="FFFFFF"/>
        </w:rPr>
        <w:t>: Hypoglycemia is common among hospitalized diabetes patients. Enhanced nursing vigilance and protocol adherence are crucial, particularly for elderly patients, those on intensive insulin, and during pre-meal and nocturnal periods. Findings underscore the need for proactive multidisciplinary management, including attention to renal/liver function, nutritional intake, and timely treatment adjustments.</w:t>
      </w:r>
    </w:p>
    <w:sectPr w:rsidR="00A362F6" w:rsidRPr="003B0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7E2147"/>
    <w:rsid w:val="0022371D"/>
    <w:rsid w:val="003B07E7"/>
    <w:rsid w:val="00637114"/>
    <w:rsid w:val="00667B3C"/>
    <w:rsid w:val="0076356C"/>
    <w:rsid w:val="007942D5"/>
    <w:rsid w:val="008D52CC"/>
    <w:rsid w:val="00A362F6"/>
    <w:rsid w:val="00AC4685"/>
    <w:rsid w:val="00C34672"/>
    <w:rsid w:val="00DC5587"/>
    <w:rsid w:val="00DC5656"/>
    <w:rsid w:val="00DE7D34"/>
    <w:rsid w:val="00E75B36"/>
    <w:rsid w:val="00EB1E71"/>
    <w:rsid w:val="4ADC5415"/>
    <w:rsid w:val="637E2147"/>
    <w:rsid w:val="78B6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158E4"/>
  <w15:docId w15:val="{2A4E3FDE-A9BD-47FF-AACE-6C8F5DC6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vision1">
    <w:name w:val="Revision1"/>
    <w:hidden/>
    <w:uiPriority w:val="99"/>
    <w:unhideWhenUsed/>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7730D8-B6AD-42DB-9F73-BF197CF4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D6BC7-C00D-4A9B-8F0D-E1A134AAF9AF}">
  <ds:schemaRefs>
    <ds:schemaRef ds:uri="http://schemas.microsoft.com/sharepoint/v3/contenttype/forms"/>
  </ds:schemaRefs>
</ds:datastoreItem>
</file>

<file path=customXml/itemProps3.xml><?xml version="1.0" encoding="utf-8"?>
<ds:datastoreItem xmlns:ds="http://schemas.openxmlformats.org/officeDocument/2006/customXml" ds:itemID="{45A85DFF-3375-43E5-84A8-5A8826F86CA9}">
  <ds:schemaRefs>
    <ds:schemaRef ds:uri="http://schemas.microsoft.com/office/infopath/2007/PartnerControls"/>
    <ds:schemaRef ds:uri="http://www.w3.org/XML/1998/namespace"/>
    <ds:schemaRef ds:uri="http://purl.org/dc/dcmitype/"/>
    <ds:schemaRef ds:uri="cab52c9b-ab33-4221-8af9-54f8f2b86a80"/>
    <ds:schemaRef ds:uri="9c8a2b7b-0bee-4c48-b0a6-23db8982d3bc"/>
    <ds:schemaRef ds:uri="http://schemas.openxmlformats.org/package/2006/metadata/core-properties"/>
    <ds:schemaRef ds:uri="http://schemas.microsoft.com/office/2006/documentManagement/types"/>
    <ds:schemaRef ds:uri="http://purl.org/dc/elements/1.1/"/>
    <ds:schemaRef ds:uri="6911e96c-4cc4-42d5-8e43-f93924cf6a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Company>UTS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Dr.Lv</dc:creator>
  <cp:lastModifiedBy>Leah McLeod</cp:lastModifiedBy>
  <cp:revision>2</cp:revision>
  <dcterms:created xsi:type="dcterms:W3CDTF">2025-05-26T04:00:00Z</dcterms:created>
  <dcterms:modified xsi:type="dcterms:W3CDTF">2025-05-26T04:00:00Z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512B8D3039CB46DF995DDBA67EFAAC08_11</vt:lpwstr>
  </property>
  <property fmtid="{D5CDD505-2E9C-101B-9397-08002B2CF9AE}" pid="4" name="KSOTemplateDocerSaveRecord">
    <vt:lpwstr>eyJoZGlkIjoiNWJkODM2MWMyMzhhMTNhMTlmYmE0ZmE2ZjcxMDQ0MmIiLCJ1c2VySWQiOiI1MzQ5MTU3NjcifQ==</vt:lpwstr>
  </property>
  <property fmtid="{D5CDD505-2E9C-101B-9397-08002B2CF9AE}" pid="5" name="MSIP_Label_51a6c3db-1667-4f49-995a-8b9973972958_Enabled">
    <vt:lpwstr>true</vt:lpwstr>
  </property>
  <property fmtid="{D5CDD505-2E9C-101B-9397-08002B2CF9AE}" pid="6" name="MSIP_Label_51a6c3db-1667-4f49-995a-8b9973972958_SetDate">
    <vt:lpwstr>2025-05-21T22:43:31Z</vt:lpwstr>
  </property>
  <property fmtid="{D5CDD505-2E9C-101B-9397-08002B2CF9AE}" pid="7" name="MSIP_Label_51a6c3db-1667-4f49-995a-8b9973972958_Method">
    <vt:lpwstr>Standard</vt:lpwstr>
  </property>
  <property fmtid="{D5CDD505-2E9C-101B-9397-08002B2CF9AE}" pid="8" name="MSIP_Label_51a6c3db-1667-4f49-995a-8b9973972958_Name">
    <vt:lpwstr>UTS-Internal</vt:lpwstr>
  </property>
  <property fmtid="{D5CDD505-2E9C-101B-9397-08002B2CF9AE}" pid="9" name="MSIP_Label_51a6c3db-1667-4f49-995a-8b9973972958_SiteId">
    <vt:lpwstr>e8911c26-cf9f-4a9c-878e-527807be8791</vt:lpwstr>
  </property>
  <property fmtid="{D5CDD505-2E9C-101B-9397-08002B2CF9AE}" pid="10" name="MSIP_Label_51a6c3db-1667-4f49-995a-8b9973972958_ActionId">
    <vt:lpwstr>b333c3ef-deec-433c-a247-10f406317b7c</vt:lpwstr>
  </property>
  <property fmtid="{D5CDD505-2E9C-101B-9397-08002B2CF9AE}" pid="11" name="MSIP_Label_51a6c3db-1667-4f49-995a-8b9973972958_ContentBits">
    <vt:lpwstr>0</vt:lpwstr>
  </property>
  <property fmtid="{D5CDD505-2E9C-101B-9397-08002B2CF9AE}" pid="12" name="MSIP_Label_51a6c3db-1667-4f49-995a-8b9973972958_Tag">
    <vt:lpwstr>10, 3, 0, 1</vt:lpwstr>
  </property>
  <property fmtid="{D5CDD505-2E9C-101B-9397-08002B2CF9AE}" pid="13" name="ContentTypeId">
    <vt:lpwstr>0x01010004DB0B76CE105D459F58063C0D0B3831</vt:lpwstr>
  </property>
</Properties>
</file>