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ADF05DC" w:rsidR="002B7FC8" w:rsidRPr="00242808" w:rsidRDefault="003D267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Participating, Protecting, and Promoting a New Food Security/Food Sovereignty Infrastructure: A </w:t>
            </w:r>
            <w:r w:rsidRPr="004B366D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trengths-B</w:t>
            </w:r>
            <w:r w:rsidRPr="004B366D">
              <w:rPr>
                <w:rFonts w:ascii="Arial" w:hAnsi="Arial" w:cs="Arial"/>
                <w:b/>
                <w:color w:val="000000"/>
                <w:sz w:val="22"/>
                <w:szCs w:val="22"/>
              </w:rPr>
              <w:t>ased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Systems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Approach for Garnering High Levels of Community Involvement in a North American Tribal Setting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6F29DB18" w14:textId="19B29CAE" w:rsidR="003D2670" w:rsidRDefault="003D2670" w:rsidP="003D267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Native American health program is tackling the dual challenges of food scarcity and diabetes by quickly building food-to-school-to-community infrastructure which consists of 5 geodesic greenhouses and a dozen classroom grow-towers, accompanying curricula, projects and events. Threats include vandalism, and reluctance among educators to partake in new programs. The strength-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based-systems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approach brings three key strategies and measurable outcomes offering safe spaces that are inclusive, and resilient for sustaining this nascent food ecology. </w:t>
            </w: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7" w14:textId="65171C34" w:rsidR="00DA7A71" w:rsidRDefault="003D267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66C6">
              <w:rPr>
                <w:rFonts w:ascii="Arial" w:hAnsi="Arial" w:cs="Arial"/>
                <w:b/>
                <w:color w:val="000000"/>
                <w:sz w:val="22"/>
                <w:szCs w:val="22"/>
              </w:rPr>
              <w:t>First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to identify the strength-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based systems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approach, its strategies, processes and measured outcomes through the food initiative. </w:t>
            </w:r>
            <w:r w:rsidRPr="004C66C6">
              <w:rPr>
                <w:rFonts w:ascii="Arial" w:hAnsi="Arial" w:cs="Arial"/>
                <w:b/>
                <w:sz w:val="22"/>
                <w:szCs w:val="22"/>
              </w:rPr>
              <w:t>Second</w:t>
            </w:r>
            <w:r>
              <w:rPr>
                <w:rFonts w:ascii="Arial" w:hAnsi="Arial" w:cs="Arial"/>
                <w:sz w:val="22"/>
                <w:szCs w:val="22"/>
              </w:rPr>
              <w:t xml:space="preserve">, to train participants on the practical aspects of participatory growing through the alignment of purpose paradigm. </w:t>
            </w:r>
            <w:r w:rsidRPr="004C66C6">
              <w:rPr>
                <w:rFonts w:ascii="Arial" w:hAnsi="Arial" w:cs="Arial"/>
                <w:b/>
                <w:sz w:val="22"/>
                <w:szCs w:val="22"/>
              </w:rPr>
              <w:t>Third</w:t>
            </w:r>
            <w:r>
              <w:rPr>
                <w:rFonts w:ascii="Arial" w:hAnsi="Arial" w:cs="Arial"/>
                <w:sz w:val="22"/>
                <w:szCs w:val="22"/>
              </w:rPr>
              <w:t>, to share the application of theory-based models that honour Native American traditions as resilient, central and inclusive to the program initiative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68C9EF5E" w14:textId="635A4537" w:rsidR="003D2670" w:rsidRDefault="003D2670" w:rsidP="003D2670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Overview of the strengths-based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systems 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approach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0-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>minutes)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 Video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0C41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of the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successful </w:t>
            </w:r>
            <w:r w:rsidRPr="000C41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restoration of the pure American Bison to the tribal lands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as addressing </w:t>
            </w:r>
            <w:r w:rsidRPr="00C7018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historical trauma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colonization,</w:t>
            </w:r>
            <w:r w:rsidRPr="00C7018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displacement, captivity, </w:t>
            </w:r>
            <w:r w:rsidRPr="00C7018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mass starvation,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federal </w:t>
            </w:r>
            <w:r w:rsidRPr="00C7018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food dependence, and the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contemporary </w:t>
            </w:r>
            <w:r w:rsidRPr="00C7018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peril of “food deserts”. </w:t>
            </w:r>
            <w:r w:rsidRPr="000C41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5-minute</w:t>
            </w:r>
            <w:r w:rsidRPr="000C41B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video</w:t>
            </w:r>
            <w:r w:rsidRPr="000C41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clip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/ 10-minutes for questions/discussion</w:t>
            </w:r>
            <w:r w:rsidRPr="000C41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14:paraId="25F0CB3B" w14:textId="77777777" w:rsidR="003D2670" w:rsidRPr="00F411BB" w:rsidRDefault="003D2670" w:rsidP="003D26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Workshop breaks into groups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that rotate through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 three separate case studies presented by youth tribal leaders A) Practical troubleshooting of infrastructure. B) Youth documentation processes and visual inquiry.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) School-based participatory tasting, cooking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Native 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recipe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>collaborative.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20-minute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repeated, simultaneous intervals with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 discussion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s)</w:t>
            </w:r>
            <w:r w:rsidRPr="00F411BB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04849E83" w14:textId="6AD4AC30" w:rsidR="003D2670" w:rsidRDefault="003D2670" w:rsidP="003D267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Like many populations, this community faces the notoriously challenging behavioural features of encouraging tastes for healthier food, and permanently reintroducing healthful, native foods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 replace less healthy choices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Learning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goals include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  </w:t>
            </w:r>
          </w:p>
          <w:p w14:paraId="16AE69D2" w14:textId="7D273261" w:rsidR="003D2670" w:rsidRPr="003D2670" w:rsidRDefault="003D2670" w:rsidP="003D26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3D2670">
              <w:rPr>
                <w:rFonts w:ascii="Arial" w:hAnsi="Arial" w:cs="Arial"/>
                <w:sz w:val="22"/>
                <w:szCs w:val="22"/>
              </w:rPr>
              <w:t>Participants gain knowledge of a strengths-based</w:t>
            </w:r>
            <w:r w:rsidRPr="003D26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2670">
              <w:rPr>
                <w:rFonts w:ascii="Arial" w:hAnsi="Arial" w:cs="Arial"/>
                <w:sz w:val="22"/>
                <w:szCs w:val="22"/>
              </w:rPr>
              <w:t>systems</w:t>
            </w:r>
            <w:r w:rsidRPr="003D26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2670">
              <w:rPr>
                <w:rFonts w:ascii="Arial" w:hAnsi="Arial" w:cs="Arial"/>
                <w:sz w:val="22"/>
                <w:szCs w:val="22"/>
              </w:rPr>
              <w:t xml:space="preserve">approach to a unique Native food sovereignty program. </w:t>
            </w:r>
          </w:p>
          <w:p w14:paraId="5535B6B2" w14:textId="5E565EBD" w:rsidR="003D2670" w:rsidRPr="003D2670" w:rsidRDefault="003D2670" w:rsidP="003D26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2670">
              <w:rPr>
                <w:rFonts w:ascii="Arial" w:hAnsi="Arial" w:cs="Arial"/>
                <w:sz w:val="22"/>
                <w:szCs w:val="22"/>
              </w:rPr>
              <w:t xml:space="preserve">Participants receive practical training for building a food infrastructure of </w:t>
            </w:r>
            <w:r w:rsidRPr="003D2670">
              <w:rPr>
                <w:rFonts w:ascii="Arial" w:hAnsi="Arial" w:cs="Arial"/>
                <w:color w:val="000000"/>
                <w:sz w:val="22"/>
                <w:szCs w:val="22"/>
              </w:rPr>
              <w:t xml:space="preserve">geodesic greenhouses, </w:t>
            </w:r>
            <w:r w:rsidRPr="003D2670">
              <w:rPr>
                <w:rFonts w:ascii="Arial" w:hAnsi="Arial" w:cs="Arial"/>
                <w:sz w:val="22"/>
                <w:szCs w:val="22"/>
              </w:rPr>
              <w:t>grow towers, and mobile kitchens.</w:t>
            </w:r>
          </w:p>
          <w:p w14:paraId="5A4DE263" w14:textId="35150345" w:rsidR="00DA7A71" w:rsidRPr="003D2670" w:rsidRDefault="003D2670" w:rsidP="003D26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2670">
              <w:rPr>
                <w:rFonts w:ascii="Arial" w:hAnsi="Arial" w:cs="Arial"/>
                <w:sz w:val="22"/>
                <w:szCs w:val="22"/>
              </w:rPr>
              <w:t>Participants leave with specific tools to facilitate the participation of the community culture as central to improved nutrition and health belief models.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EA"/>
    <w:multiLevelType w:val="hybridMultilevel"/>
    <w:tmpl w:val="8952B3E8"/>
    <w:lvl w:ilvl="0" w:tplc="7B38A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077C6"/>
    <w:multiLevelType w:val="hybridMultilevel"/>
    <w:tmpl w:val="CBEA7FBE"/>
    <w:lvl w:ilvl="0" w:tplc="36FE237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D2670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3D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2261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Katherine Schlatter</cp:lastModifiedBy>
  <cp:revision>2</cp:revision>
  <dcterms:created xsi:type="dcterms:W3CDTF">2018-09-13T19:22:00Z</dcterms:created>
  <dcterms:modified xsi:type="dcterms:W3CDTF">2018-09-13T19:22:00Z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