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5" w:type="dxa"/>
        <w:tblLayout w:type="fixed"/>
        <w:tblLook w:val="01E0" w:firstRow="1" w:lastRow="1" w:firstColumn="1" w:lastColumn="1" w:noHBand="0" w:noVBand="0"/>
      </w:tblPr>
      <w:tblGrid>
        <w:gridCol w:w="8694"/>
      </w:tblGrid>
      <w:tr w:rsidR="3A88382A" w:rsidRPr="00FE4236" w14:paraId="4A8D1CBC" w14:textId="77777777" w:rsidTr="3A88382A">
        <w:trPr>
          <w:trHeight w:val="300"/>
        </w:trPr>
        <w:tc>
          <w:tcPr>
            <w:tcW w:w="869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689B304" w14:textId="70984511" w:rsidR="3A88382A" w:rsidRPr="00180CC6" w:rsidRDefault="00180CC6" w:rsidP="3A88382A">
            <w:pPr>
              <w:jc w:val="both"/>
              <w:rPr>
                <w:rFonts w:ascii="Arial" w:eastAsia="Arial" w:hAnsi="Arial" w:cs="Arial"/>
                <w:i/>
                <w:iCs/>
                <w:color w:val="000000" w:themeColor="text1"/>
                <w:sz w:val="22"/>
                <w:szCs w:val="22"/>
                <w:lang w:val="en-NZ"/>
              </w:rPr>
            </w:pPr>
            <w:r w:rsidRPr="00180CC6">
              <w:rPr>
                <w:rFonts w:ascii="Arial" w:eastAsia="Arial" w:hAnsi="Arial" w:cs="Arial"/>
                <w:i/>
                <w:iCs/>
                <w:color w:val="000000" w:themeColor="text1"/>
                <w:sz w:val="22"/>
                <w:szCs w:val="22"/>
                <w:lang w:val="en-NZ"/>
              </w:rPr>
              <w:t xml:space="preserve">Paper </w:t>
            </w:r>
          </w:p>
          <w:p w14:paraId="177A6073" w14:textId="781640AF" w:rsidR="6EA84A9D" w:rsidRPr="008362B9" w:rsidRDefault="00D4673E" w:rsidP="00547631">
            <w:pPr>
              <w:rPr>
                <w:rFonts w:ascii="Arial" w:eastAsia="Arial" w:hAnsi="Arial" w:cs="Arial"/>
                <w:b/>
                <w:bCs/>
                <w:color w:val="000000" w:themeColor="text1"/>
                <w:sz w:val="22"/>
                <w:szCs w:val="22"/>
                <w:lang w:val="en-NZ"/>
              </w:rPr>
            </w:pPr>
            <w:r>
              <w:rPr>
                <w:rFonts w:ascii="Arial" w:eastAsia="Arial" w:hAnsi="Arial" w:cs="Arial"/>
                <w:b/>
                <w:bCs/>
                <w:color w:val="000000" w:themeColor="text1"/>
                <w:sz w:val="22"/>
                <w:szCs w:val="22"/>
                <w:lang w:val="en-NZ"/>
              </w:rPr>
              <w:t xml:space="preserve">From </w:t>
            </w:r>
            <w:r w:rsidR="003B6EAF">
              <w:rPr>
                <w:rFonts w:ascii="Arial" w:eastAsia="Arial" w:hAnsi="Arial" w:cs="Arial"/>
                <w:b/>
                <w:bCs/>
                <w:color w:val="000000" w:themeColor="text1"/>
                <w:sz w:val="22"/>
                <w:szCs w:val="22"/>
                <w:lang w:val="en-NZ"/>
              </w:rPr>
              <w:t>b</w:t>
            </w:r>
            <w:r w:rsidR="008D37B8">
              <w:rPr>
                <w:rFonts w:ascii="Arial" w:eastAsia="Arial" w:hAnsi="Arial" w:cs="Arial"/>
                <w:b/>
                <w:bCs/>
                <w:color w:val="000000" w:themeColor="text1"/>
                <w:sz w:val="22"/>
                <w:szCs w:val="22"/>
                <w:lang w:val="en-NZ"/>
              </w:rPr>
              <w:t xml:space="preserve">oxes and </w:t>
            </w:r>
            <w:r w:rsidR="003B6EAF">
              <w:rPr>
                <w:rFonts w:ascii="Arial" w:eastAsia="Arial" w:hAnsi="Arial" w:cs="Arial"/>
                <w:b/>
                <w:bCs/>
                <w:color w:val="000000" w:themeColor="text1"/>
                <w:sz w:val="22"/>
                <w:szCs w:val="22"/>
                <w:lang w:val="en-NZ"/>
              </w:rPr>
              <w:t>a</w:t>
            </w:r>
            <w:r w:rsidR="008D37B8">
              <w:rPr>
                <w:rFonts w:ascii="Arial" w:eastAsia="Arial" w:hAnsi="Arial" w:cs="Arial"/>
                <w:b/>
                <w:bCs/>
                <w:color w:val="000000" w:themeColor="text1"/>
                <w:sz w:val="22"/>
                <w:szCs w:val="22"/>
                <w:lang w:val="en-NZ"/>
              </w:rPr>
              <w:t>rrows</w:t>
            </w:r>
            <w:r>
              <w:rPr>
                <w:rFonts w:ascii="Arial" w:eastAsia="Arial" w:hAnsi="Arial" w:cs="Arial"/>
                <w:b/>
                <w:bCs/>
                <w:color w:val="000000" w:themeColor="text1"/>
                <w:sz w:val="22"/>
                <w:szCs w:val="22"/>
                <w:lang w:val="en-NZ"/>
              </w:rPr>
              <w:t xml:space="preserve"> </w:t>
            </w:r>
            <w:r w:rsidR="00134D87">
              <w:rPr>
                <w:rFonts w:ascii="Arial" w:eastAsia="Arial" w:hAnsi="Arial" w:cs="Arial"/>
                <w:b/>
                <w:bCs/>
                <w:color w:val="000000" w:themeColor="text1"/>
                <w:sz w:val="22"/>
                <w:szCs w:val="22"/>
                <w:lang w:val="en-NZ"/>
              </w:rPr>
              <w:t>to</w:t>
            </w:r>
            <w:r>
              <w:rPr>
                <w:rFonts w:ascii="Arial" w:eastAsia="Arial" w:hAnsi="Arial" w:cs="Arial"/>
                <w:b/>
                <w:bCs/>
                <w:color w:val="000000" w:themeColor="text1"/>
                <w:sz w:val="22"/>
                <w:szCs w:val="22"/>
                <w:lang w:val="en-NZ"/>
              </w:rPr>
              <w:t xml:space="preserve"> a</w:t>
            </w:r>
            <w:r w:rsidR="00192935">
              <w:rPr>
                <w:rFonts w:ascii="Arial" w:eastAsia="Arial" w:hAnsi="Arial" w:cs="Arial"/>
                <w:b/>
                <w:bCs/>
                <w:color w:val="000000" w:themeColor="text1"/>
                <w:sz w:val="22"/>
                <w:szCs w:val="22"/>
                <w:lang w:val="en-NZ"/>
              </w:rPr>
              <w:t xml:space="preserve"> </w:t>
            </w:r>
            <w:r w:rsidR="003B6EAF">
              <w:rPr>
                <w:rFonts w:ascii="Arial" w:eastAsia="Arial" w:hAnsi="Arial" w:cs="Arial"/>
                <w:b/>
                <w:bCs/>
                <w:color w:val="000000" w:themeColor="text1"/>
                <w:sz w:val="22"/>
                <w:szCs w:val="22"/>
                <w:lang w:val="en-NZ"/>
              </w:rPr>
              <w:t>m</w:t>
            </w:r>
            <w:r w:rsidR="00A402DC">
              <w:rPr>
                <w:rFonts w:ascii="Arial" w:eastAsia="Arial" w:hAnsi="Arial" w:cs="Arial"/>
                <w:b/>
                <w:bCs/>
                <w:color w:val="000000" w:themeColor="text1"/>
                <w:sz w:val="22"/>
                <w:szCs w:val="22"/>
                <w:lang w:val="en-NZ"/>
              </w:rPr>
              <w:t>eta-</w:t>
            </w:r>
            <w:r w:rsidR="003B6EAF">
              <w:rPr>
                <w:rFonts w:ascii="Arial" w:eastAsia="Arial" w:hAnsi="Arial" w:cs="Arial"/>
                <w:b/>
                <w:bCs/>
                <w:color w:val="000000" w:themeColor="text1"/>
                <w:sz w:val="22"/>
                <w:szCs w:val="22"/>
                <w:lang w:val="en-NZ"/>
              </w:rPr>
              <w:t>m</w:t>
            </w:r>
            <w:r w:rsidR="00A402DC">
              <w:rPr>
                <w:rFonts w:ascii="Arial" w:eastAsia="Arial" w:hAnsi="Arial" w:cs="Arial"/>
                <w:b/>
                <w:bCs/>
                <w:color w:val="000000" w:themeColor="text1"/>
                <w:sz w:val="22"/>
                <w:szCs w:val="22"/>
                <w:lang w:val="en-NZ"/>
              </w:rPr>
              <w:t>odel</w:t>
            </w:r>
            <w:r w:rsidR="00192935">
              <w:rPr>
                <w:rFonts w:ascii="Arial" w:eastAsia="Arial" w:hAnsi="Arial" w:cs="Arial"/>
                <w:b/>
                <w:bCs/>
                <w:color w:val="000000" w:themeColor="text1"/>
                <w:sz w:val="22"/>
                <w:szCs w:val="22"/>
                <w:lang w:val="en-NZ"/>
              </w:rPr>
              <w:t xml:space="preserve"> </w:t>
            </w:r>
            <w:r w:rsidR="00A402DC">
              <w:rPr>
                <w:rFonts w:ascii="Arial" w:eastAsia="Arial" w:hAnsi="Arial" w:cs="Arial"/>
                <w:b/>
                <w:bCs/>
                <w:color w:val="000000" w:themeColor="text1"/>
                <w:sz w:val="22"/>
                <w:szCs w:val="22"/>
                <w:lang w:val="en-NZ"/>
              </w:rPr>
              <w:t>for</w:t>
            </w:r>
            <w:r w:rsidR="00BF7417">
              <w:rPr>
                <w:rFonts w:ascii="Arial" w:eastAsia="Arial" w:hAnsi="Arial" w:cs="Arial"/>
                <w:b/>
                <w:bCs/>
                <w:color w:val="000000" w:themeColor="text1"/>
                <w:sz w:val="22"/>
                <w:szCs w:val="22"/>
                <w:lang w:val="en-NZ"/>
              </w:rPr>
              <w:t xml:space="preserve"> </w:t>
            </w:r>
            <w:r w:rsidR="003B6EAF">
              <w:rPr>
                <w:rFonts w:ascii="Arial" w:eastAsia="Arial" w:hAnsi="Arial" w:cs="Arial"/>
                <w:b/>
                <w:bCs/>
                <w:color w:val="000000" w:themeColor="text1"/>
                <w:sz w:val="22"/>
                <w:szCs w:val="22"/>
                <w:lang w:val="en-NZ"/>
              </w:rPr>
              <w:t>c</w:t>
            </w:r>
            <w:r w:rsidR="00D10C2A">
              <w:rPr>
                <w:rFonts w:ascii="Arial" w:eastAsia="Arial" w:hAnsi="Arial" w:cs="Arial"/>
                <w:b/>
                <w:bCs/>
                <w:color w:val="000000" w:themeColor="text1"/>
                <w:sz w:val="22"/>
                <w:szCs w:val="22"/>
                <w:lang w:val="en-NZ"/>
              </w:rPr>
              <w:t xml:space="preserve">limate </w:t>
            </w:r>
            <w:r w:rsidR="003B6EAF">
              <w:rPr>
                <w:rFonts w:ascii="Arial" w:eastAsia="Arial" w:hAnsi="Arial" w:cs="Arial"/>
                <w:b/>
                <w:bCs/>
                <w:color w:val="000000" w:themeColor="text1"/>
                <w:sz w:val="22"/>
                <w:szCs w:val="22"/>
                <w:lang w:val="en-NZ"/>
              </w:rPr>
              <w:t>a</w:t>
            </w:r>
            <w:r w:rsidR="00363480">
              <w:rPr>
                <w:rFonts w:ascii="Arial" w:eastAsia="Arial" w:hAnsi="Arial" w:cs="Arial"/>
                <w:b/>
                <w:bCs/>
                <w:color w:val="000000" w:themeColor="text1"/>
                <w:sz w:val="22"/>
                <w:szCs w:val="22"/>
                <w:lang w:val="en-NZ"/>
              </w:rPr>
              <w:t>daptation</w:t>
            </w:r>
            <w:r w:rsidR="00836D09">
              <w:rPr>
                <w:rFonts w:ascii="Arial" w:eastAsia="Arial" w:hAnsi="Arial" w:cs="Arial"/>
                <w:b/>
                <w:bCs/>
                <w:color w:val="000000" w:themeColor="text1"/>
                <w:sz w:val="22"/>
                <w:szCs w:val="22"/>
                <w:lang w:val="en-NZ"/>
              </w:rPr>
              <w:t xml:space="preserve"> of </w:t>
            </w:r>
            <w:r w:rsidR="00547631">
              <w:rPr>
                <w:rFonts w:ascii="Arial" w:eastAsia="Arial" w:hAnsi="Arial" w:cs="Arial"/>
                <w:b/>
                <w:bCs/>
                <w:color w:val="000000" w:themeColor="text1"/>
                <w:sz w:val="22"/>
                <w:szCs w:val="22"/>
                <w:lang w:val="en-NZ"/>
              </w:rPr>
              <w:t>African</w:t>
            </w:r>
            <w:r w:rsidR="00BF7417">
              <w:rPr>
                <w:rFonts w:ascii="Arial" w:eastAsia="Arial" w:hAnsi="Arial" w:cs="Arial"/>
                <w:b/>
                <w:bCs/>
                <w:color w:val="000000" w:themeColor="text1"/>
                <w:sz w:val="22"/>
                <w:szCs w:val="22"/>
                <w:lang w:val="en-NZ"/>
              </w:rPr>
              <w:t xml:space="preserve"> </w:t>
            </w:r>
            <w:r w:rsidR="003B6EAF">
              <w:rPr>
                <w:rFonts w:ascii="Arial" w:eastAsia="Arial" w:hAnsi="Arial" w:cs="Arial"/>
                <w:b/>
                <w:bCs/>
                <w:color w:val="000000" w:themeColor="text1"/>
                <w:sz w:val="22"/>
                <w:szCs w:val="22"/>
                <w:lang w:val="en-NZ"/>
              </w:rPr>
              <w:t>a</w:t>
            </w:r>
            <w:r w:rsidR="00025F1C">
              <w:rPr>
                <w:rFonts w:ascii="Arial" w:eastAsia="Arial" w:hAnsi="Arial" w:cs="Arial"/>
                <w:b/>
                <w:bCs/>
                <w:color w:val="000000" w:themeColor="text1"/>
                <w:sz w:val="22"/>
                <w:szCs w:val="22"/>
                <w:lang w:val="en-NZ"/>
              </w:rPr>
              <w:t>griculture</w:t>
            </w:r>
          </w:p>
          <w:p w14:paraId="69F80594" w14:textId="1624D6E2" w:rsidR="3A88382A" w:rsidRPr="00FE4236" w:rsidRDefault="3A88382A" w:rsidP="3A88382A">
            <w:pPr>
              <w:tabs>
                <w:tab w:val="left" w:pos="3386"/>
              </w:tabs>
              <w:jc w:val="both"/>
              <w:rPr>
                <w:rFonts w:ascii="Arial" w:hAnsi="Arial" w:cs="Arial"/>
                <w:sz w:val="22"/>
                <w:szCs w:val="22"/>
              </w:rPr>
            </w:pPr>
            <w:r w:rsidRPr="00FE4236">
              <w:rPr>
                <w:rFonts w:ascii="Arial" w:eastAsia="Arial" w:hAnsi="Arial" w:cs="Arial"/>
                <w:b/>
                <w:bCs/>
                <w:sz w:val="22"/>
                <w:szCs w:val="22"/>
                <w:lang w:val="en-NZ"/>
              </w:rPr>
              <w:t xml:space="preserve"> </w:t>
            </w:r>
          </w:p>
        </w:tc>
      </w:tr>
      <w:tr w:rsidR="3A88382A" w:rsidRPr="00FE4236" w14:paraId="49998E97" w14:textId="77777777" w:rsidTr="3A88382A">
        <w:trPr>
          <w:trHeight w:val="3120"/>
        </w:trPr>
        <w:tc>
          <w:tcPr>
            <w:tcW w:w="8694" w:type="dxa"/>
            <w:tcBorders>
              <w:top w:val="single" w:sz="8" w:space="0" w:color="auto"/>
              <w:left w:val="single" w:sz="8" w:space="0" w:color="auto"/>
              <w:bottom w:val="single" w:sz="8" w:space="0" w:color="auto"/>
              <w:right w:val="single" w:sz="8" w:space="0" w:color="auto"/>
            </w:tcBorders>
            <w:tcMar>
              <w:left w:w="108" w:type="dxa"/>
              <w:right w:w="108" w:type="dxa"/>
            </w:tcMar>
          </w:tcPr>
          <w:p w14:paraId="147DDA03" w14:textId="14A1E042" w:rsidR="3A88382A" w:rsidRPr="00FE4236" w:rsidRDefault="3A88382A" w:rsidP="3A88382A">
            <w:pPr>
              <w:jc w:val="both"/>
              <w:rPr>
                <w:rFonts w:ascii="Arial" w:hAnsi="Arial" w:cs="Arial"/>
                <w:sz w:val="22"/>
                <w:szCs w:val="22"/>
              </w:rPr>
            </w:pPr>
            <w:r w:rsidRPr="00FE4236">
              <w:rPr>
                <w:rFonts w:ascii="Arial" w:eastAsia="Arial" w:hAnsi="Arial" w:cs="Arial"/>
                <w:b/>
                <w:bCs/>
                <w:sz w:val="22"/>
                <w:szCs w:val="22"/>
                <w:lang w:val="en-NZ"/>
              </w:rPr>
              <w:t xml:space="preserve"> </w:t>
            </w:r>
          </w:p>
          <w:p w14:paraId="6F52213C" w14:textId="0C5E2749" w:rsidR="00182D3F" w:rsidRPr="0003087F" w:rsidRDefault="3A88382A" w:rsidP="00182D3F">
            <w:pPr>
              <w:jc w:val="both"/>
              <w:rPr>
                <w:rFonts w:ascii="Arial" w:hAnsi="Arial" w:cs="Arial"/>
                <w:sz w:val="22"/>
                <w:szCs w:val="22"/>
              </w:rPr>
            </w:pPr>
            <w:r w:rsidRPr="0003087F">
              <w:rPr>
                <w:rFonts w:ascii="Arial" w:eastAsia="Arial" w:hAnsi="Arial" w:cs="Arial"/>
                <w:b/>
                <w:bCs/>
                <w:sz w:val="22"/>
                <w:szCs w:val="22"/>
                <w:lang w:val="en-NZ"/>
              </w:rPr>
              <w:t>Introduction</w:t>
            </w:r>
          </w:p>
          <w:p w14:paraId="75B40B86" w14:textId="0717EF0C" w:rsidR="00182D3F" w:rsidRPr="0003087F" w:rsidRDefault="00182D3F" w:rsidP="008362B9">
            <w:pPr>
              <w:rPr>
                <w:rFonts w:ascii="Arial" w:hAnsi="Arial" w:cs="Arial"/>
                <w:sz w:val="22"/>
                <w:szCs w:val="22"/>
              </w:rPr>
            </w:pPr>
            <w:r w:rsidRPr="0003087F">
              <w:rPr>
                <w:rFonts w:ascii="Arial" w:hAnsi="Arial" w:cs="Arial"/>
                <w:sz w:val="22"/>
                <w:szCs w:val="22"/>
              </w:rPr>
              <w:t xml:space="preserve">Understanding the effectiveness of climate adaptation in agriculture </w:t>
            </w:r>
            <w:r w:rsidR="000A45C4">
              <w:rPr>
                <w:rFonts w:ascii="Arial" w:hAnsi="Arial" w:cs="Arial"/>
                <w:sz w:val="22"/>
                <w:szCs w:val="22"/>
              </w:rPr>
              <w:t>hinges on</w:t>
            </w:r>
            <w:r w:rsidRPr="0003087F">
              <w:rPr>
                <w:rFonts w:ascii="Arial" w:hAnsi="Arial" w:cs="Arial"/>
                <w:sz w:val="22"/>
                <w:szCs w:val="22"/>
              </w:rPr>
              <w:t xml:space="preserve"> causality. At its core, this </w:t>
            </w:r>
            <w:r w:rsidR="00263226">
              <w:rPr>
                <w:rFonts w:ascii="Arial" w:hAnsi="Arial" w:cs="Arial"/>
                <w:sz w:val="22"/>
                <w:szCs w:val="22"/>
              </w:rPr>
              <w:t>requires</w:t>
            </w:r>
            <w:r w:rsidRPr="0003087F">
              <w:rPr>
                <w:rFonts w:ascii="Arial" w:hAnsi="Arial" w:cs="Arial"/>
                <w:sz w:val="22"/>
                <w:szCs w:val="22"/>
              </w:rPr>
              <w:t xml:space="preserve"> asking: What happens after farmers </w:t>
            </w:r>
            <w:r w:rsidR="00E95C48">
              <w:rPr>
                <w:rFonts w:ascii="Arial" w:hAnsi="Arial" w:cs="Arial"/>
                <w:sz w:val="22"/>
                <w:szCs w:val="22"/>
              </w:rPr>
              <w:t>use</w:t>
            </w:r>
            <w:r w:rsidRPr="0003087F">
              <w:rPr>
                <w:rFonts w:ascii="Arial" w:hAnsi="Arial" w:cs="Arial"/>
                <w:sz w:val="22"/>
                <w:szCs w:val="22"/>
              </w:rPr>
              <w:t xml:space="preserve"> adaptation strategies? What changes, by how much, why</w:t>
            </w:r>
            <w:r w:rsidR="00964B74" w:rsidRPr="0003087F">
              <w:rPr>
                <w:rFonts w:ascii="Arial" w:hAnsi="Arial" w:cs="Arial"/>
                <w:sz w:val="22"/>
                <w:szCs w:val="22"/>
              </w:rPr>
              <w:t>, and for whom</w:t>
            </w:r>
            <w:r w:rsidRPr="0003087F">
              <w:rPr>
                <w:rFonts w:ascii="Arial" w:hAnsi="Arial" w:cs="Arial"/>
                <w:sz w:val="22"/>
                <w:szCs w:val="22"/>
              </w:rPr>
              <w:t xml:space="preserve">? </w:t>
            </w:r>
            <w:r w:rsidR="00134D87">
              <w:rPr>
                <w:rFonts w:ascii="Arial" w:hAnsi="Arial" w:cs="Arial"/>
                <w:sz w:val="22"/>
                <w:szCs w:val="22"/>
              </w:rPr>
              <w:t xml:space="preserve">In practice, this </w:t>
            </w:r>
            <w:r w:rsidR="00263226">
              <w:rPr>
                <w:rFonts w:ascii="Arial" w:hAnsi="Arial" w:cs="Arial"/>
                <w:sz w:val="22"/>
                <w:szCs w:val="22"/>
              </w:rPr>
              <w:t xml:space="preserve">means </w:t>
            </w:r>
            <w:r w:rsidR="007C2510">
              <w:rPr>
                <w:rFonts w:ascii="Arial" w:hAnsi="Arial" w:cs="Arial"/>
                <w:sz w:val="22"/>
                <w:szCs w:val="22"/>
              </w:rPr>
              <w:t xml:space="preserve">confidently </w:t>
            </w:r>
            <w:r w:rsidR="00BE0EF9">
              <w:rPr>
                <w:rFonts w:ascii="Arial" w:hAnsi="Arial" w:cs="Arial"/>
                <w:sz w:val="22"/>
                <w:szCs w:val="22"/>
              </w:rPr>
              <w:t xml:space="preserve">drawing </w:t>
            </w:r>
            <w:r w:rsidR="0005117E">
              <w:rPr>
                <w:rFonts w:ascii="Arial" w:hAnsi="Arial" w:cs="Arial"/>
                <w:sz w:val="22"/>
                <w:szCs w:val="22"/>
              </w:rPr>
              <w:t xml:space="preserve">linkages </w:t>
            </w:r>
            <w:r w:rsidR="00EA0328">
              <w:rPr>
                <w:rFonts w:ascii="Arial" w:hAnsi="Arial" w:cs="Arial"/>
                <w:sz w:val="22"/>
                <w:szCs w:val="22"/>
              </w:rPr>
              <w:t>(or</w:t>
            </w:r>
            <w:r w:rsidR="0005117E">
              <w:rPr>
                <w:rFonts w:ascii="Arial" w:hAnsi="Arial" w:cs="Arial"/>
                <w:sz w:val="22"/>
                <w:szCs w:val="22"/>
              </w:rPr>
              <w:t xml:space="preserve"> “arrows”) between adaptation rationales, strategies, their effects, and interacting factors (“boxes”).</w:t>
            </w:r>
            <w:r w:rsidR="00F464BD">
              <w:rPr>
                <w:rFonts w:ascii="Arial" w:hAnsi="Arial" w:cs="Arial"/>
                <w:sz w:val="22"/>
                <w:szCs w:val="22"/>
              </w:rPr>
              <w:t xml:space="preserve"> </w:t>
            </w:r>
            <w:r w:rsidR="005A17AC">
              <w:rPr>
                <w:rFonts w:ascii="Arial" w:hAnsi="Arial" w:cs="Arial"/>
                <w:sz w:val="22"/>
                <w:szCs w:val="22"/>
              </w:rPr>
              <w:t>Causal u</w:t>
            </w:r>
            <w:r w:rsidR="000711B8">
              <w:rPr>
                <w:rFonts w:ascii="Arial" w:hAnsi="Arial" w:cs="Arial"/>
                <w:sz w:val="22"/>
                <w:szCs w:val="22"/>
              </w:rPr>
              <w:t>n</w:t>
            </w:r>
            <w:r w:rsidR="002A187B" w:rsidRPr="0003087F">
              <w:rPr>
                <w:rFonts w:ascii="Arial" w:hAnsi="Arial" w:cs="Arial"/>
                <w:sz w:val="22"/>
                <w:szCs w:val="22"/>
              </w:rPr>
              <w:t xml:space="preserve">derstanding </w:t>
            </w:r>
            <w:r w:rsidR="00F464BD">
              <w:rPr>
                <w:rFonts w:ascii="Arial" w:hAnsi="Arial" w:cs="Arial"/>
                <w:sz w:val="22"/>
                <w:szCs w:val="22"/>
              </w:rPr>
              <w:t xml:space="preserve">of adaptation effectiveness </w:t>
            </w:r>
            <w:r w:rsidR="002A187B" w:rsidRPr="0003087F">
              <w:rPr>
                <w:rFonts w:ascii="Arial" w:hAnsi="Arial" w:cs="Arial"/>
                <w:sz w:val="22"/>
                <w:szCs w:val="22"/>
              </w:rPr>
              <w:t xml:space="preserve">has practical </w:t>
            </w:r>
            <w:r w:rsidR="00B37F59" w:rsidRPr="0003087F">
              <w:rPr>
                <w:rFonts w:ascii="Arial" w:hAnsi="Arial" w:cs="Arial"/>
                <w:sz w:val="22"/>
                <w:szCs w:val="22"/>
              </w:rPr>
              <w:t>significance</w:t>
            </w:r>
            <w:r w:rsidR="00B37F59">
              <w:rPr>
                <w:rFonts w:ascii="Arial" w:hAnsi="Arial" w:cs="Arial"/>
                <w:sz w:val="22"/>
                <w:szCs w:val="22"/>
              </w:rPr>
              <w:t>;</w:t>
            </w:r>
            <w:r w:rsidR="006210EE">
              <w:rPr>
                <w:rFonts w:ascii="Arial" w:hAnsi="Arial" w:cs="Arial"/>
                <w:sz w:val="22"/>
                <w:szCs w:val="22"/>
              </w:rPr>
              <w:t xml:space="preserve"> </w:t>
            </w:r>
            <w:r w:rsidR="00B37F59">
              <w:rPr>
                <w:rFonts w:ascii="Arial" w:hAnsi="Arial" w:cs="Arial"/>
                <w:sz w:val="22"/>
                <w:szCs w:val="22"/>
              </w:rPr>
              <w:t xml:space="preserve">it </w:t>
            </w:r>
            <w:r w:rsidR="002A187B" w:rsidRPr="0003087F">
              <w:rPr>
                <w:rFonts w:ascii="Arial" w:hAnsi="Arial" w:cs="Arial"/>
                <w:sz w:val="22"/>
                <w:szCs w:val="22"/>
              </w:rPr>
              <w:t xml:space="preserve">empowers the design of robust, impact-driven adaptation </w:t>
            </w:r>
            <w:r w:rsidR="006210EE">
              <w:rPr>
                <w:rFonts w:ascii="Arial" w:hAnsi="Arial" w:cs="Arial"/>
                <w:sz w:val="22"/>
                <w:szCs w:val="22"/>
              </w:rPr>
              <w:t>investments</w:t>
            </w:r>
            <w:r w:rsidR="002A187B" w:rsidRPr="0003087F">
              <w:rPr>
                <w:rFonts w:ascii="Arial" w:hAnsi="Arial" w:cs="Arial"/>
                <w:sz w:val="22"/>
                <w:szCs w:val="22"/>
              </w:rPr>
              <w:t xml:space="preserve"> and equips stakeholders with tools to build and test pathways for better outcomes.</w:t>
            </w:r>
          </w:p>
          <w:p w14:paraId="5D6C0E32" w14:textId="663782ED" w:rsidR="00182D3F" w:rsidRDefault="00182D3F" w:rsidP="008362B9">
            <w:pPr>
              <w:rPr>
                <w:rFonts w:ascii="Arial" w:eastAsia="Arial" w:hAnsi="Arial" w:cs="Arial"/>
                <w:sz w:val="22"/>
                <w:szCs w:val="22"/>
              </w:rPr>
            </w:pPr>
          </w:p>
          <w:p w14:paraId="62C15CC2" w14:textId="7A7D90C4" w:rsidR="00ED4E90" w:rsidRDefault="002E3CAA" w:rsidP="008362B9">
            <w:pPr>
              <w:rPr>
                <w:rFonts w:ascii="Arial" w:hAnsi="Arial" w:cs="Arial"/>
                <w:sz w:val="22"/>
                <w:szCs w:val="22"/>
              </w:rPr>
            </w:pPr>
            <w:r>
              <w:rPr>
                <w:rFonts w:ascii="Arial" w:eastAsia="Arial" w:hAnsi="Arial" w:cs="Arial"/>
                <w:sz w:val="22"/>
                <w:szCs w:val="22"/>
              </w:rPr>
              <w:t>A</w:t>
            </w:r>
            <w:r w:rsidR="005C1DFC">
              <w:rPr>
                <w:rFonts w:ascii="Arial" w:eastAsia="Arial" w:hAnsi="Arial" w:cs="Arial"/>
                <w:sz w:val="22"/>
                <w:szCs w:val="22"/>
              </w:rPr>
              <w:t>daptation-focused evidence syntheses</w:t>
            </w:r>
            <w:r w:rsidR="00E46EC2">
              <w:rPr>
                <w:rFonts w:ascii="Arial" w:eastAsia="Arial" w:hAnsi="Arial" w:cs="Arial"/>
                <w:sz w:val="22"/>
                <w:szCs w:val="22"/>
              </w:rPr>
              <w:t xml:space="preserve"> developed so far have</w:t>
            </w:r>
            <w:r w:rsidR="009A036F" w:rsidRPr="009A036F">
              <w:rPr>
                <w:rFonts w:ascii="Arial" w:eastAsia="Arial" w:hAnsi="Arial" w:cs="Arial"/>
                <w:sz w:val="22"/>
                <w:szCs w:val="22"/>
              </w:rPr>
              <w:t xml:space="preserve"> offer</w:t>
            </w:r>
            <w:r w:rsidR="00E46EC2">
              <w:rPr>
                <w:rFonts w:ascii="Arial" w:eastAsia="Arial" w:hAnsi="Arial" w:cs="Arial"/>
                <w:sz w:val="22"/>
                <w:szCs w:val="22"/>
              </w:rPr>
              <w:t>ed valuable</w:t>
            </w:r>
            <w:r w:rsidR="009A036F" w:rsidRPr="009A036F">
              <w:rPr>
                <w:rFonts w:ascii="Arial" w:eastAsia="Arial" w:hAnsi="Arial" w:cs="Arial"/>
                <w:sz w:val="22"/>
                <w:szCs w:val="22"/>
              </w:rPr>
              <w:t xml:space="preserve"> insights into implementation and outcomes</w:t>
            </w:r>
            <w:r w:rsidR="00D84C52">
              <w:rPr>
                <w:rFonts w:ascii="Arial" w:eastAsia="Arial" w:hAnsi="Arial" w:cs="Arial"/>
                <w:sz w:val="22"/>
                <w:szCs w:val="22"/>
              </w:rPr>
              <w:fldChar w:fldCharType="begin"/>
            </w:r>
            <w:r w:rsidR="003D5C72">
              <w:rPr>
                <w:rFonts w:ascii="Arial" w:eastAsia="Arial" w:hAnsi="Arial" w:cs="Arial"/>
                <w:sz w:val="22"/>
                <w:szCs w:val="22"/>
              </w:rPr>
              <w:instrText xml:space="preserve"> ADDIN ZOTERO_ITEM CSL_CITATION {"citationID":"NU3J1F5e","properties":{"formattedCitation":"\\super 1\\uc0\\u8211{}8\\nosupersub{}","plainCitation":"1–8","noteIndex":0},"citationItems":[{"id":940,"uris":["http://zotero.org/users/8082260/items/TVDWE4CL"],"itemData":{"id":940,"type":"article-journal","abstract":"Assessing global progress on human adaptation to climate change is an urgent priority. Although the literature on adaptation to climate change is rapidly expanding, little is known about the actual extent of implementation. We systematically screened &gt;48,000 articles using machine learning methods and a global network of 126 researchers. Our synthesis of the resulting 1,682 articles presents a systematic and comprehensive global stocktake of implemented human adaptation to climate change. Documented adaptations were largely fragmented, local and incremental, with limited evidence of transformational adaptation and negligible evidence of risk reduction outcomes. We identify eight priorities for global adaptation research: assess the effectiveness of adaptation responses, enhance the understanding of limits to adaptation, enable individuals and civil society to adapt, include missing places, scholars and scholarship, understand private sector responses, improve methods for synthesizing different forms of evidence, assess the adaptation at different temperature thresholds, and improve the inclusion of timescale and the dynamics of responses.","container-title":"Nature Climate Change","DOI":"10.1038/s41558-021-01170-y","ISSN":"17586798","issue":"11","page":"989-1000","title":"A systematic global stocktake of evidence on human adaptation to climate change","volume":"11","author":[{"family":"Berrang-Ford","given":"Lea"},{"family":"Siders","given":"A. R."},{"family":"Lesnikowski","given":"Alexandra"},{"family":"Fischer","given":"Alexandra Paige"},{"family":"Callaghan","given":"Max W."},{"family":"Haddaway","given":"Neal R."},{"family":"Mach","given":"Katharine J."},{"family":"Araos","given":"Malcolm"},{"family":"Shah","given":"Mohammad Aminur Rahman"},{"family":"Wannewitz","given":"Mia"},{"family":"Doshi","given":"Deepal"},{"family":"Leiter","given":"Timo"},{"family":"Matavel","given":"Custodio"},{"family":"Musah-Surugu","given":"Justice Issah"},{"family":"Wong-Parodi","given":"Gabrielle"},{"family":"Antwi-Agyei","given":"Philip"},{"family":"Ajibade","given":"Idowu"},{"family":"Chauhan","given":"Neha"},{"family":"Kakenmaster","given":"William"},{"family":"Grady","given":"Caitlin"},{"family":"Chalastani","given":"Vasiliki I."},{"family":"Jagannathan","given":"Kripa"},{"family":"Galappaththi","given":"Eranga K."},{"family":"Sitati","given":"Asha"},{"family":"Scarpa","given":"Giulia"},{"family":"Totin","given":"Edmond"},{"family":"Davis","given":"Katy"},{"family":"Hamilton","given":"Nikita Charles"},{"family":"Kirchhoff","given":"Christine J."},{"family":"Kumar","given":"Praveen"},{"family":"Pentz","given":"Brian"},{"family":"Simpson","given":"Nicholas P."},{"family":"Theokritoff","given":"Emily"},{"family":"Deryng","given":"Delphine"},{"family":"Reckien","given":"Diana"},{"family":"Zavaleta-Cortijo","given":"Carol"},{"family":"Ulibarri","given":"Nicola"},{"family":"Segnon","given":"Alcade C."},{"family":"Khavhagali","given":"Vhalinavho"},{"family":"Shang","given":"Yuanyuan"},{"family":"Zvobgo","given":"Luckson"},{"family":"Zommers","given":"Zinta"},{"family":"Xu","given":"Jiren"},{"family":"Williams","given":"Portia Adade"},{"family":"Canosa","given":"Ivan Villaverde"},{"family":"Maanen","given":"Nicole","dropping-particle":"van"},{"family":"Bavel","given":"Bianca","dropping-particle":"van"},{"family":"Aalst","given":"Maarten","dropping-particle":"van"},{"family":"Turek-Hankins","given":"Lynée L."},{"family":"Trivedi","given":"Hasti"},{"family":"Trisos","given":"Christopher H."},{"family":"Thomas","given":"Adelle"},{"family":"Thakur","given":"Shinny"},{"family":"Templeman","given":"Sienna"},{"family":"Stringer","given":"Lindsay C."},{"family":"Sotnik","given":"Garry"},{"family":"Sjostrom","given":"Kathryn Dana"},{"family":"Singh","given":"Chandni"},{"family":"Siña","given":"Mariella Z."},{"family":"Shukla","given":"Roopam"},{"family":"Sardans","given":"Jordi"},{"family":"Salubi","given":"Eunice A."},{"family":"Chalkasra","given":"Lolita Shaila Safaee"},{"family":"Ruiz-Díaz","given":"Raquel"},{"family":"Richards","given":"Carys"},{"family":"Pokharel","given":"Pratik"},{"family":"Petzold","given":"Jan"},{"family":"Penuelas","given":"Josep"},{"family":"Avila","given":"Julia Pelaez"},{"family":"Murillo","given":"Julia B. Pazmino"},{"family":"Ouni","given":"Souha"},{"family":"Niemann","given":"Jennifer"},{"family":"Nielsen","given":"Miriam"},{"family":"New","given":"Mark"},{"family":"Schwerdtle","given":"Patricia Nayna"},{"family":"Alverio","given":"Gabriela Nagle"},{"family":"Mullin","given":"Cristina A."},{"family":"Mullenite","given":"Joshua"},{"family":"Mosurska","given":"Anuszka"},{"family":"Morecroft","given":"Mike D."},{"family":"Minx","given":"Jan C."},{"family":"Maskell","given":"Gina"},{"family":"Nunbogu","given":"Abraham Marshall"},{"family":"Magnan","given":"Alexandre K."},{"family":"Lwasa","given":"Shuaib"},{"family":"Lukas-Sithole","given":"Megan"},{"family":"Lissner","given":"Tabea"},{"family":"Lilford","given":"Oliver"},{"family":"Koller","given":"Steven F."},{"family":"Jurjonas","given":"Matthew"},{"family":"Joe","given":"Elphin Tom"},{"family":"Huynh","given":"Lam T. M."},{"family":"Hill","given":"Avery"},{"family":"Hernandez","given":"Rebecca R."},{"family":"Hegde","given":"Greeshma"},{"family":"Hawxwell","given":"Tom"},{"family":"Harper","given":"Sherilee"},{"family":"Harden","given":"Alexandra"},{"family":"Haasnoot","given":"Marjolijn"},{"family":"Gilmore","given":"Elisabeth A."},{"family":"Gichuki","given":"Leah"},{"family":"Gatt","given":"Alyssa"},{"family":"Garschagen","given":"Matthias"},{"family":"Ford","given":"James D."},{"family":"Forbes","given":"Andrew"},{"family":"Farrell","given":"Aidan D."},{"family":"Enquist","given":"Carolyn A. F."},{"family":"Elliott","given":"Susan"},{"family":"Duncan","given":"Emily"},{"family":"Perez","given":"Erin Coughlan","dropping-particle":"de"},{"family":"Coggins","given":"Shaugn"},{"family":"Chen","given":"Tara"},{"family":"Campbell","given":"Donovan"},{"family":"Browne","given":"Katherine E."},{"family":"Bowen","given":"Kathryn J."},{"family":"Biesbroek","given":"Robbert"},{"family":"Bhatt","given":"Indra D."},{"family":"Kerr","given":"Rachel Bezner"},{"family":"Barr","given":"Stephanie L."},{"family":"Baker","given":"Emily"},{"family":"Austin","given":"Stephanie E."},{"family":"Arotoma-Rojas","given":"Ingrid"},{"family":"Anderson","given":"Christa"},{"family":"Ajaz","given":"Warda"},{"family":"Agrawal","given":"Tanvi"},{"family":"Abu","given":"Thelma Zulfawu"}],"issued":{"date-parts":[["2021"]]},"citation-key":"Berrang-Ford2021"}},{"id":628,"uris":["http://zotero.org/users/8082260/items/9BI65Y8Z"],"itemData":{"id":628,"type":"article-journal","container-title":"Mitigation and Adaptation Strategies for Global Change","DOI":"10.1007/s11027-013-9491-x","ISSN":"1381-2386, 1573-1596","issue":"2","journalAbbreviation":"Mitig Adapt Strateg Glob Change","language":"en","page":"277-293","source":"DOI.org (Crossref)","title":"How are we adapting to climate change? A global assessment","title-short":"How are we adapting to climate change?","URL":"http://link.springer.com/10.1007/s11027-013-9491-x","volume":"20","author":[{"family":"Lesnikowski","given":"A"},{"family":"Ford","given":"James D."},{"family":"Berrang-Ford","given":"Lea"},{"family":"Barrera","given":"Magda"},{"family":"Heymann","given":"Jody"}],"accessed":{"date-parts":[["2022",7,1]]},"issued":{"date-parts":[["2015",2]]},"citation-key":"Lesnikowski2015"}},{"id":6936,"uris":["http://zotero.org/users/8082260/items/A63559NS"],"itemData":{"id":6936,"type":"article-journal","abstract":"Evidence on the effectiveness of climate change adaptation interventions in low- and middle-income countries has been rapidly growing in recent years, particularly in the agricultural and coastal sectors. Here we address the question of whether results are consistent across intervention types, and risk reduction versus development-related outcomes using a systematic review of 363 empirical observations published in the scientific literature. Generally, we found more evidence of risk reduction outcomes in the coastal sector than in the agricultural sector, and more evidence of development-related outcomes in the agricultural sector. Further, results indicate that nature-based solutions have the strongest positive effects for both the coastal and agricultural sectors. Social/behavioural interventions in the coastal sector show negative effects on development-related outcomes that will need to be further tested. Taken together, our results highlight the opportunity for development and climate adaptation practitioners to promote adaptation interventions with co-benefits beyond risk reduction, particularly in the case of nature-based solutions.","container-title":"Communications Earth &amp; Environment","DOI":"10.1038/s43247-024-01356-0","ISSN":"2662-4435","issue":"1","journalAbbreviation":"Commun Earth Environ","language":"en","license":"2024 The Author(s)","note":"publisher: Nature Publishing Group","page":"1-11","source":"www-nature-com.ezproxy.library.wur.nl","title":"Developing countries can adapt to climate change effectively using nature-based solutions","URL":"https://www.nature.com/articles/s43247-024-01356-0","volume":"5","author":[{"family":"Villamayor-Tomas","given":"Sergio"},{"family":"Bisaro","given":"Alexander"},{"family":"Moull","given":"Kevin"},{"family":"Albizua","given":"Amaia"},{"family":"Mank","given":"Isabel"},{"family":"Hinkel","given":"Jochen"},{"family":"Leppert","given":"Gerald"},{"family":"Noltze","given":"Martin"}],"accessed":{"date-parts":[["2024",8,29]]},"issued":{"date-parts":[["2024",4,22]]},"citation-key":"Villamayor-Tomas2024"}},{"id":5372,"uris":["http://zotero.org/users/8082260/items/D9UJFVB6"],"itemData":{"id":5372,"type":"article-journal","abstract":"Growing evidence suggests that climate adaptation responses that do not incorporate equity considerations may worsen inequality and increase vulnerability. Using data from a systematic review of peer-reviewed empirical research on adaptation responses to climate change (n = 1,682), we present an assessment of how social equity is considered in adaptation across regions, sectors, and social groups. Roughly 60% of peer-reviewed literature on adaptation responses considers social equity by reporting on which marginalized groups were involved in planning or implementation. Articles on responses in Africa and Asia and those focusing on poverty reduction most frequently considered social equity. Equity was less likely to be considered in adaptation responses in Europe, Australasia, and North America, as well as in literature focused on cities. Income-based inequity was more frequently considered than gender, age, or Indigenous status. Ethnic and racial minorities, migrants, and people with disabilities were rarely considered. Attention to the levels and forms in which equity is integrated into adaptation research and practice is needed to ensure just adaptation.","container-title":"One Earth","DOI":"10.1016/j.oneear.2021.09.001","ISSN":"2590-3322","issue":"10","journalAbbreviation":"One Earth","page":"1454-1467","source":"ScienceDirect","title":"Equity in human adaptation-related responses: A systematic global review","title-short":"Equity in human adaptation-related responses","URL":"https://www.sciencedirect.com/science/article/pii/S259033222100484X","volume":"4","author":[{"family":"Araos","given":"Malcolm"},{"family":"Jagannathan","given":"Kripa"},{"family":"Shukla","given":"Roopam"},{"family":"Ajibade","given":"Idowu"},{"family":"Coughlan de Perez","given":"Erin"},{"family":"Davis","given":"Katy"},{"family":"Ford","given":"James D."},{"family":"Galappaththi","given":"Eranga K."},{"family":"Grady","given":"Caitlin"},{"family":"Hudson","given":"A. J."},{"family":"Joe","given":"Elphin Tom"},{"family":"Kirchhoff","given":"Christine J."},{"family":"Lesnikowski","given":"Alexandra"},{"family":"Alverio","given":"Gabriela Nagle"},{"family":"Nielsen","given":"Miriam"},{"family":"Orlove","given":"Ben"},{"family":"Pentz","given":"Brian"},{"family":"Reckien","given":"Diana"},{"family":"Siders","given":"A. R."},{"family":"Ulibarri","given":"Nicola"},{"family":"Aalst","given":"Maarten","non-dropping-particle":"van"},{"family":"Abu","given":"Thelma Zulfawu"},{"family":"Agrawal","given":"Tanvi"},{"family":"Berrang-Ford","given":"Lea"},{"family":"Kerr","given":"Rachel Bezner"},{"family":"Coggins","given":"Shaugn"},{"family":"Garschagen","given":"Matthias"},{"family":"Harden","given":"Alexandra"},{"family":"Mach","given":"Katharine J."},{"family":"Nunbogu","given":"Abraham Marshall"},{"family":"Spandan","given":"Pandey"},{"family":"Templeman","given":"Sienna"},{"family":"Turek-Hankins","given":"Lynée L."}],"accessed":{"date-parts":[["2024",4,10]]},"issued":{"date-parts":[["2021",10,22]]},"citation-key":"Araos2021"}},{"id":641,"uris":["http://zotero.org/users/8082260/items/LR34HC57"],"itemData":{"id":641,"type":"article-journal","abstract":"Increased understanding of global warming and documentation of its observable impacts have led to the development of adaptation responses to climate change around the world. A necessary, but often missing, component of adaptation involves the assessment of outcomes and impact. Through a systematic review of research literature, I categorize 110 adaptation initiatives that have been implemented and shown some degree of effectiveness. I analyze the ways in which these activities have been documented as eﬀective using ﬁve indicators: reducing risk and vulnerability, developing resilient social systems, improving the environment, increasing economic resources, and enhancing governance and institutions. The act of cataloging adaptation activities produces insights for current and future climate action in two main areas: understanding common attributes of adaptation initiatives reported to be eﬀective in current literature; and identifying gaps in adaptation research and practice that address equality, justice, and power dynamics.","container-title":"Global Environmental Change","DOI":"10.1016/j.gloenvcha.2020.102071","ISSN":"09593780","journalAbbreviation":"Global Environmental Change","language":"en","page":"102071","source":"DOI.org (Crossref)","title":"What makes climate change adaptation effective? A systematic review of the literature","title-short":"What makes climate change adaptation effective?","URL":"https://linkinghub.elsevier.com/retrieve/pii/S0959378019312026","volume":"62","author":[{"family":"Owen","given":"Gigi"}],"accessed":{"date-parts":[["2022",7,1]]},"issued":{"date-parts":[["2020",5]]},"citation-key":"Owen2020"}},{"id":6934,"uris":["http://zotero.org/users/8082260/items/GK7R53DP"],"itemData":{"id":6934,"type":"article-journal","abstract":"Knowledge of the practice of climate change adaptation is slowly shifting from a focus on barriers and limits to an understanding of its enablers. Here we take stock of the knowledge on the enablers of adaptation through a systematic review of the literature. Our review of empirical articles explaining how adaptation is enabled finds that there is a tendency in the literature to focus on local-scale case studies. Across all studies, some factors seem to be more important than others, including resources (particularly money), awareness of climate risks and responses, leadership, bridging and bonding social capital, and the support of higher-level institutions. Our analysis also highlights significant gaps in knowledge about enablers, including those that affect change in regional/provincial and national governments, in the private sector, and in non-local not-for-profit and non-governmental organisations.","container-title":"npj Climate Action","DOI":"10.1038/s44168-024-00128-y","ISSN":"2731-9814","issue":"1","journalAbbreviation":"npj Clim. Action","language":"en","license":"2024 The Author(s)","note":"publisher: Nature Publishing Group","page":"1-8","source":"www-nature-com.ezproxy.library.wur.nl","title":"The enablers of adaptation: A systematic review","title-short":"The enablers of adaptation","URL":"https://www.nature.com/articles/s44168-024-00128-y","volume":"3","author":[{"family":"Brullo","given":"Tia"},{"family":"Barnett","given":"Jon"},{"family":"Waters","given":"Elissa"},{"family":"Boulter","given":"Sarah"}],"accessed":{"date-parts":[["2024",8,29]]},"issued":{"date-parts":[["2024",6,3]]},"citation-key":"Brullo2024"}},{"id":7376,"uris":["http://zotero.org/users/8082260/items/3BL83XXL"],"itemData":{"id":7376,"type":"article-journal","abstract":"Information on the effects of changing agricultural management on crop and livestock performance is critical for developing evidence-based policies, investments, and programs. Evidence for Resilient Agriculture (ERA) v1.0.1 presents a dataset that harmonizes and aggregates 112,859 observations from 2,011 agricultural studies taken place in Africa between 1934 and 2018. The dataset includes information on the effect of 364 combinations of management practices and technologies on 87 environmental, social, and economic indicators of outcomes. Observations are geolocated and temporally tagged and thus can be linked to other datasets such as historical weather, soil properties, and road networks. ERA offers a new resource for understanding the impacts of changing farming practices under diverse environmental contexts, providing data to support strategic interventions aimed to enhance productivity, resilience, and sustainability of African agriculture.","container-title":"Scientific Data","DOI":"10.1038/s41597-024-03805-z","ISSN":"2052-4463","issue":"1","journalAbbreviation":"Sci Data","language":"en","license":"2024 The Author(s)","note":"publisher: Nature Publishing Group","page":"958","source":"www-nature-com.ezproxy.library.wur.nl","title":"Effects of changing farming practices in African agriculture","URL":"https://www.nature.com/articles/s41597-024-03805-z","volume":"11","author":[{"family":"Rosenstock","given":"Todd S."},{"family":"Steward","given":"Peter"},{"family":"Joshi","given":"Namita"},{"family":"Lamanna","given":"Christine"},{"family":"Namoi","given":"Nictor"},{"family":"Muller","given":"Lolita"},{"family":"Akinleye","given":"Akinwale O."},{"family":"Atieno","given":"Erica"},{"family":"Bell","given":"Patrick"},{"family":"Champalle","given":"Clara"},{"family":"English","given":"William"},{"family":"Eyrich","given":"Anna-Sarah"},{"family":"Gitau","given":"Angela"},{"family":"Kagwiria","given":"Dorcas"},{"family":"Kamau","given":"Hannah"},{"family":"Madalinska","given":"Anna"},{"family":"Manda","given":"Lucas"},{"family":"McFatridge","given":"Scott"},{"family":"Mumo","given":"Elijah"},{"family":"Nduah","given":"Alex"},{"family":"Ombewa","given":"Babra"},{"family":"Poultouchidou","given":"Anatoli"},{"family":"Rioux","given":"Janie"},{"family":"Richards","given":"Meryl"},{"family":"Shuck","given":"Julia"},{"family":"Ström","given":"Helena"},{"family":"Tully","given":"Katherine"}],"accessed":{"date-parts":[["2025",2,28]]},"issued":{"date-parts":[["2024",9,3]]},"citation-key":"Rosenstock2024"}},{"id":6000,"uris":["http://zotero.org/users/8082260/items/LNQUXTNV"],"itemData":{"id":6000,"type":"article-journal","container-title":"Climate and Development","DOI":"10.1080/17565529.2013.867247","ISSN":"1756-5529, 1756-5537","issue":"2","journalAbbreviation":"Climate and Development","language":"en","page":"185-201","source":"DOI.org (Crossref)","title":"Effectiveness of ecosystem-based approaches for adaptation: review of the evidence-base","title-short":"Effectiveness of ecosystem-based approaches for adaptation","URL":"http://www.tandfonline.com/doi/abs/10.1080/17565529.2013.867247","volume":"6","author":[{"family":"Doswald","given":"N."},{"family":"Munroe","given":"R."},{"family":"Roe","given":"D."},{"family":"Giuliani","given":"A."},{"family":"Castelli","given":"I."},{"family":"Stephens","given":"J."},{"family":"Möller","given":"I."},{"family":"Spencer","given":"T."},{"family":"Vira","given":"B."},{"family":"Reid","given":"H."}],"accessed":{"date-parts":[["2024",6,26]]},"issued":{"date-parts":[["2014",4,3]]},"citation-key":"Doswald2014a"}}],"schema":"https://github.com/citation-style-language/schema/raw/master/csl-citation.json"} </w:instrText>
            </w:r>
            <w:r w:rsidR="00D84C52">
              <w:rPr>
                <w:rFonts w:ascii="Arial" w:eastAsia="Arial" w:hAnsi="Arial" w:cs="Arial"/>
                <w:sz w:val="22"/>
                <w:szCs w:val="22"/>
              </w:rPr>
              <w:fldChar w:fldCharType="separate"/>
            </w:r>
            <w:r w:rsidR="003D5C72" w:rsidRPr="003D5C72">
              <w:rPr>
                <w:rFonts w:ascii="Arial" w:hAnsi="Arial" w:cs="Arial"/>
                <w:sz w:val="22"/>
                <w:vertAlign w:val="superscript"/>
              </w:rPr>
              <w:t>1–8</w:t>
            </w:r>
            <w:r w:rsidR="00D84C52">
              <w:rPr>
                <w:rFonts w:ascii="Arial" w:eastAsia="Arial" w:hAnsi="Arial" w:cs="Arial"/>
                <w:sz w:val="22"/>
                <w:szCs w:val="22"/>
              </w:rPr>
              <w:fldChar w:fldCharType="end"/>
            </w:r>
            <w:r w:rsidR="009A036F" w:rsidRPr="009A036F">
              <w:rPr>
                <w:rFonts w:ascii="Arial" w:eastAsia="Arial" w:hAnsi="Arial" w:cs="Arial"/>
                <w:sz w:val="22"/>
                <w:szCs w:val="22"/>
              </w:rPr>
              <w:t xml:space="preserve">. Yet, in agriculture, </w:t>
            </w:r>
            <w:r w:rsidR="009A036F">
              <w:rPr>
                <w:rFonts w:ascii="Arial" w:eastAsia="Arial" w:hAnsi="Arial" w:cs="Arial"/>
                <w:sz w:val="22"/>
                <w:szCs w:val="22"/>
              </w:rPr>
              <w:t xml:space="preserve">they </w:t>
            </w:r>
            <w:r w:rsidR="00A2720C">
              <w:rPr>
                <w:rFonts w:ascii="Arial" w:eastAsia="Arial" w:hAnsi="Arial" w:cs="Arial"/>
                <w:sz w:val="22"/>
                <w:szCs w:val="22"/>
              </w:rPr>
              <w:t>fail to</w:t>
            </w:r>
            <w:r w:rsidR="009A036F" w:rsidRPr="009A036F">
              <w:rPr>
                <w:rFonts w:ascii="Arial" w:eastAsia="Arial" w:hAnsi="Arial" w:cs="Arial"/>
                <w:sz w:val="22"/>
                <w:szCs w:val="22"/>
              </w:rPr>
              <w:t xml:space="preserve"> systematically unpack cause-effect mechanisms</w:t>
            </w:r>
            <w:r w:rsidR="009A036F">
              <w:rPr>
                <w:rFonts w:ascii="Arial" w:eastAsia="Arial" w:hAnsi="Arial" w:cs="Arial"/>
                <w:sz w:val="22"/>
                <w:szCs w:val="22"/>
              </w:rPr>
              <w:t xml:space="preserve"> of multiple strategies</w:t>
            </w:r>
            <w:r w:rsidR="009A036F" w:rsidRPr="009A036F">
              <w:rPr>
                <w:rFonts w:ascii="Arial" w:eastAsia="Arial" w:hAnsi="Arial" w:cs="Arial"/>
                <w:sz w:val="22"/>
                <w:szCs w:val="22"/>
              </w:rPr>
              <w:t>, leaving gaps in understanding </w:t>
            </w:r>
            <w:r w:rsidR="009A036F" w:rsidRPr="009A036F">
              <w:rPr>
                <w:rFonts w:ascii="Arial" w:eastAsia="Arial" w:hAnsi="Arial" w:cs="Arial"/>
                <w:i/>
                <w:iCs/>
                <w:sz w:val="22"/>
                <w:szCs w:val="22"/>
              </w:rPr>
              <w:t>how</w:t>
            </w:r>
            <w:r w:rsidR="009A036F" w:rsidRPr="009A036F">
              <w:rPr>
                <w:rFonts w:ascii="Arial" w:eastAsia="Arial" w:hAnsi="Arial" w:cs="Arial"/>
                <w:sz w:val="22"/>
                <w:szCs w:val="22"/>
              </w:rPr>
              <w:t>, </w:t>
            </w:r>
            <w:r w:rsidR="009A036F" w:rsidRPr="009A036F">
              <w:rPr>
                <w:rFonts w:ascii="Arial" w:eastAsia="Arial" w:hAnsi="Arial" w:cs="Arial"/>
                <w:i/>
                <w:iCs/>
                <w:sz w:val="22"/>
                <w:szCs w:val="22"/>
              </w:rPr>
              <w:t>when</w:t>
            </w:r>
            <w:r w:rsidR="009A036F" w:rsidRPr="009A036F">
              <w:rPr>
                <w:rFonts w:ascii="Arial" w:eastAsia="Arial" w:hAnsi="Arial" w:cs="Arial"/>
                <w:sz w:val="22"/>
                <w:szCs w:val="22"/>
              </w:rPr>
              <w:t>, and </w:t>
            </w:r>
            <w:r w:rsidR="009A036F" w:rsidRPr="009A036F">
              <w:rPr>
                <w:rFonts w:ascii="Arial" w:eastAsia="Arial" w:hAnsi="Arial" w:cs="Arial"/>
                <w:i/>
                <w:iCs/>
                <w:sz w:val="22"/>
                <w:szCs w:val="22"/>
              </w:rPr>
              <w:t>for whom</w:t>
            </w:r>
            <w:r w:rsidR="009A036F" w:rsidRPr="009A036F">
              <w:rPr>
                <w:rFonts w:ascii="Arial" w:eastAsia="Arial" w:hAnsi="Arial" w:cs="Arial"/>
                <w:sz w:val="22"/>
                <w:szCs w:val="22"/>
              </w:rPr>
              <w:t xml:space="preserve"> adaptation succeeds or fails. </w:t>
            </w:r>
            <w:r w:rsidR="00F77CF0">
              <w:rPr>
                <w:rFonts w:ascii="Arial" w:eastAsia="Arial" w:hAnsi="Arial" w:cs="Arial"/>
                <w:sz w:val="22"/>
                <w:szCs w:val="22"/>
              </w:rPr>
              <w:t>Additionally, adaptation</w:t>
            </w:r>
            <w:r w:rsidR="00A36FCC" w:rsidRPr="00A36FCC">
              <w:rPr>
                <w:rFonts w:ascii="Arial" w:hAnsi="Arial" w:cs="Arial"/>
                <w:sz w:val="22"/>
                <w:szCs w:val="22"/>
              </w:rPr>
              <w:t> </w:t>
            </w:r>
            <w:r w:rsidR="00F77CF0">
              <w:rPr>
                <w:rFonts w:ascii="Arial" w:hAnsi="Arial" w:cs="Arial"/>
                <w:sz w:val="22"/>
                <w:szCs w:val="22"/>
              </w:rPr>
              <w:t>s</w:t>
            </w:r>
            <w:r w:rsidR="005C1DFC">
              <w:rPr>
                <w:rFonts w:ascii="Arial" w:hAnsi="Arial" w:cs="Arial"/>
                <w:sz w:val="22"/>
                <w:szCs w:val="22"/>
              </w:rPr>
              <w:t>yntheses</w:t>
            </w:r>
            <w:r w:rsidR="00F77CF0">
              <w:rPr>
                <w:rFonts w:ascii="Arial" w:hAnsi="Arial" w:cs="Arial"/>
                <w:sz w:val="22"/>
                <w:szCs w:val="22"/>
              </w:rPr>
              <w:t xml:space="preserve"> f</w:t>
            </w:r>
            <w:r w:rsidR="00F77CF0" w:rsidRPr="00F77CF0">
              <w:rPr>
                <w:rFonts w:ascii="Arial" w:hAnsi="Arial" w:cs="Arial"/>
                <w:sz w:val="22"/>
                <w:szCs w:val="22"/>
              </w:rPr>
              <w:t>requently frame adaptation solely as a response to climate risks, neglecting the interplay of non-climate drivers—such as socio-economic pressures or perceived benefits—that are equally critical in shaping strategies and outcomes. Furthermore, they disproportionately prioritize peer-reviewed, quantitative studies, overlooking grey literature and qualitative insights that capture local contexts and nuanced mechanisms.</w:t>
            </w:r>
            <w:r w:rsidR="003B295E">
              <w:rPr>
                <w:rFonts w:ascii="Arial" w:hAnsi="Arial" w:cs="Arial"/>
                <w:sz w:val="22"/>
                <w:szCs w:val="22"/>
              </w:rPr>
              <w:t xml:space="preserve"> </w:t>
            </w:r>
            <w:r w:rsidR="00FE7090" w:rsidRPr="00FE7090">
              <w:rPr>
                <w:rFonts w:ascii="Arial" w:hAnsi="Arial" w:cs="Arial"/>
                <w:sz w:val="22"/>
                <w:szCs w:val="22"/>
              </w:rPr>
              <w:t xml:space="preserve">These </w:t>
            </w:r>
            <w:r w:rsidR="00ED4E90">
              <w:rPr>
                <w:rFonts w:ascii="Arial" w:hAnsi="Arial" w:cs="Arial"/>
                <w:sz w:val="22"/>
                <w:szCs w:val="22"/>
              </w:rPr>
              <w:t>limitations</w:t>
            </w:r>
            <w:r w:rsidR="00FE7090" w:rsidRPr="00FE7090">
              <w:rPr>
                <w:rFonts w:ascii="Arial" w:hAnsi="Arial" w:cs="Arial"/>
                <w:sz w:val="22"/>
                <w:szCs w:val="22"/>
              </w:rPr>
              <w:t xml:space="preserve"> constrain </w:t>
            </w:r>
            <w:r w:rsidR="00ED4E90">
              <w:rPr>
                <w:rFonts w:ascii="Arial" w:hAnsi="Arial" w:cs="Arial"/>
                <w:sz w:val="22"/>
                <w:szCs w:val="22"/>
              </w:rPr>
              <w:t>the</w:t>
            </w:r>
            <w:r w:rsidR="00FE7090" w:rsidRPr="00FE7090">
              <w:rPr>
                <w:rFonts w:ascii="Arial" w:hAnsi="Arial" w:cs="Arial"/>
                <w:sz w:val="22"/>
                <w:szCs w:val="22"/>
              </w:rPr>
              <w:t xml:space="preserve"> design </w:t>
            </w:r>
            <w:r w:rsidR="00ED4E90">
              <w:rPr>
                <w:rFonts w:ascii="Arial" w:hAnsi="Arial" w:cs="Arial"/>
                <w:sz w:val="22"/>
                <w:szCs w:val="22"/>
              </w:rPr>
              <w:t xml:space="preserve">of </w:t>
            </w:r>
            <w:r w:rsidR="008362B9">
              <w:rPr>
                <w:rFonts w:ascii="Arial" w:hAnsi="Arial" w:cs="Arial"/>
                <w:sz w:val="22"/>
                <w:szCs w:val="22"/>
              </w:rPr>
              <w:t>effective</w:t>
            </w:r>
            <w:r w:rsidR="00FE7090" w:rsidRPr="00FE7090">
              <w:rPr>
                <w:rFonts w:ascii="Arial" w:hAnsi="Arial" w:cs="Arial"/>
                <w:sz w:val="22"/>
                <w:szCs w:val="22"/>
              </w:rPr>
              <w:t xml:space="preserve"> strategies</w:t>
            </w:r>
            <w:r w:rsidR="00ED4E90">
              <w:rPr>
                <w:rFonts w:ascii="Arial" w:hAnsi="Arial" w:cs="Arial"/>
                <w:sz w:val="22"/>
                <w:szCs w:val="22"/>
              </w:rPr>
              <w:t xml:space="preserve"> and risk perpetuating inequities and inefficiencies in planning and implementation. </w:t>
            </w:r>
          </w:p>
          <w:p w14:paraId="68BF116C" w14:textId="77777777" w:rsidR="0060429B" w:rsidRPr="0003087F" w:rsidRDefault="0060429B" w:rsidP="008362B9">
            <w:pPr>
              <w:rPr>
                <w:rFonts w:ascii="Arial" w:eastAsia="Arial" w:hAnsi="Arial" w:cs="Arial"/>
                <w:b/>
                <w:bCs/>
                <w:sz w:val="22"/>
                <w:szCs w:val="22"/>
                <w:lang w:val="en-NZ"/>
              </w:rPr>
            </w:pPr>
          </w:p>
          <w:p w14:paraId="16B06458" w14:textId="5E0B0B58" w:rsidR="3A88382A" w:rsidRPr="0003087F" w:rsidRDefault="3A88382A" w:rsidP="008362B9">
            <w:pPr>
              <w:rPr>
                <w:rFonts w:ascii="Arial" w:hAnsi="Arial" w:cs="Arial"/>
                <w:sz w:val="22"/>
                <w:szCs w:val="22"/>
              </w:rPr>
            </w:pPr>
            <w:r w:rsidRPr="0003087F">
              <w:rPr>
                <w:rFonts w:ascii="Arial" w:eastAsia="Arial" w:hAnsi="Arial" w:cs="Arial"/>
                <w:b/>
                <w:bCs/>
                <w:sz w:val="22"/>
                <w:szCs w:val="22"/>
                <w:lang w:val="en-NZ"/>
              </w:rPr>
              <w:t>Objectives</w:t>
            </w:r>
          </w:p>
          <w:p w14:paraId="6DA272AE" w14:textId="3A20E0BF" w:rsidR="00177C38" w:rsidRDefault="00E302FF" w:rsidP="008362B9">
            <w:pPr>
              <w:rPr>
                <w:rFonts w:ascii="Arial" w:eastAsia="Arial" w:hAnsi="Arial" w:cs="Arial"/>
                <w:sz w:val="22"/>
                <w:szCs w:val="22"/>
              </w:rPr>
            </w:pPr>
            <w:r w:rsidRPr="0003087F">
              <w:rPr>
                <w:rFonts w:ascii="Arial" w:eastAsia="Arial" w:hAnsi="Arial" w:cs="Arial"/>
                <w:sz w:val="22"/>
                <w:szCs w:val="22"/>
              </w:rPr>
              <w:t>We</w:t>
            </w:r>
            <w:r w:rsidR="00B37F59">
              <w:rPr>
                <w:rFonts w:ascii="Arial" w:eastAsia="Arial" w:hAnsi="Arial" w:cs="Arial"/>
                <w:sz w:val="22"/>
                <w:szCs w:val="22"/>
              </w:rPr>
              <w:t xml:space="preserve"> address these gaps through a</w:t>
            </w:r>
            <w:r w:rsidR="008F608E">
              <w:rPr>
                <w:rFonts w:ascii="Arial" w:eastAsia="Arial" w:hAnsi="Arial" w:cs="Arial"/>
                <w:sz w:val="22"/>
                <w:szCs w:val="22"/>
              </w:rPr>
              <w:t xml:space="preserve"> causal-chain</w:t>
            </w:r>
            <w:r w:rsidR="00B37F59">
              <w:rPr>
                <w:rFonts w:ascii="Arial" w:eastAsia="Arial" w:hAnsi="Arial" w:cs="Arial"/>
                <w:sz w:val="22"/>
                <w:szCs w:val="22"/>
              </w:rPr>
              <w:t xml:space="preserve"> </w:t>
            </w:r>
            <w:r w:rsidRPr="0003087F">
              <w:rPr>
                <w:rFonts w:ascii="Arial" w:eastAsia="Arial" w:hAnsi="Arial" w:cs="Arial"/>
                <w:sz w:val="22"/>
                <w:szCs w:val="22"/>
              </w:rPr>
              <w:t xml:space="preserve">systematic review </w:t>
            </w:r>
            <w:r w:rsidR="00B37F59">
              <w:rPr>
                <w:rFonts w:ascii="Arial" w:eastAsia="Arial" w:hAnsi="Arial" w:cs="Arial"/>
                <w:sz w:val="22"/>
                <w:szCs w:val="22"/>
              </w:rPr>
              <w:t xml:space="preserve">of agricultural adaptation effectiveness </w:t>
            </w:r>
            <w:r w:rsidR="00F43082">
              <w:rPr>
                <w:rFonts w:ascii="Arial" w:eastAsia="Arial" w:hAnsi="Arial" w:cs="Arial"/>
                <w:sz w:val="22"/>
                <w:szCs w:val="22"/>
              </w:rPr>
              <w:t>in Africa</w:t>
            </w:r>
            <w:r w:rsidRPr="0003087F">
              <w:rPr>
                <w:rFonts w:ascii="Arial" w:eastAsia="Arial" w:hAnsi="Arial" w:cs="Arial"/>
                <w:sz w:val="22"/>
                <w:szCs w:val="22"/>
              </w:rPr>
              <w:t xml:space="preserve">. </w:t>
            </w:r>
            <w:r w:rsidR="009C4C3E" w:rsidRPr="009C4C3E">
              <w:rPr>
                <w:rFonts w:ascii="Arial" w:eastAsia="Arial" w:hAnsi="Arial" w:cs="Arial"/>
                <w:sz w:val="22"/>
                <w:szCs w:val="22"/>
              </w:rPr>
              <w:t>Our aim is to create a meta-</w:t>
            </w:r>
            <w:r w:rsidR="004C599F">
              <w:rPr>
                <w:rFonts w:ascii="Arial" w:eastAsia="Arial" w:hAnsi="Arial" w:cs="Arial"/>
                <w:sz w:val="22"/>
                <w:szCs w:val="22"/>
              </w:rPr>
              <w:t>model</w:t>
            </w:r>
            <w:r w:rsidR="009C4C3E" w:rsidRPr="009C4C3E">
              <w:rPr>
                <w:rFonts w:ascii="Arial" w:eastAsia="Arial" w:hAnsi="Arial" w:cs="Arial"/>
                <w:sz w:val="22"/>
                <w:szCs w:val="22"/>
              </w:rPr>
              <w:t xml:space="preserve"> </w:t>
            </w:r>
            <w:r w:rsidR="00301E15">
              <w:rPr>
                <w:rFonts w:ascii="Arial" w:eastAsia="Arial" w:hAnsi="Arial" w:cs="Arial"/>
                <w:sz w:val="22"/>
                <w:szCs w:val="22"/>
              </w:rPr>
              <w:t>for</w:t>
            </w:r>
            <w:r w:rsidR="009C4C3E" w:rsidRPr="009C4C3E">
              <w:rPr>
                <w:rFonts w:ascii="Arial" w:eastAsia="Arial" w:hAnsi="Arial" w:cs="Arial"/>
                <w:sz w:val="22"/>
                <w:szCs w:val="22"/>
              </w:rPr>
              <w:t xml:space="preserve"> adaptation, </w:t>
            </w:r>
            <w:r w:rsidR="006F09FB">
              <w:rPr>
                <w:rFonts w:ascii="Arial" w:eastAsia="Arial" w:hAnsi="Arial" w:cs="Arial"/>
                <w:sz w:val="22"/>
                <w:szCs w:val="22"/>
              </w:rPr>
              <w:t xml:space="preserve">unpacking </w:t>
            </w:r>
            <w:r w:rsidR="002B7A66">
              <w:rPr>
                <w:rFonts w:ascii="Arial" w:eastAsia="Arial" w:hAnsi="Arial" w:cs="Arial"/>
                <w:sz w:val="22"/>
                <w:szCs w:val="22"/>
              </w:rPr>
              <w:t>ag</w:t>
            </w:r>
            <w:r w:rsidR="009C4C3E" w:rsidRPr="009C4C3E">
              <w:rPr>
                <w:rFonts w:ascii="Arial" w:eastAsia="Arial" w:hAnsi="Arial" w:cs="Arial"/>
                <w:sz w:val="22"/>
                <w:szCs w:val="22"/>
              </w:rPr>
              <w:t>ricultural strategies</w:t>
            </w:r>
            <w:r w:rsidR="002B7A66">
              <w:rPr>
                <w:rFonts w:ascii="Arial" w:eastAsia="Arial" w:hAnsi="Arial" w:cs="Arial"/>
                <w:sz w:val="22"/>
                <w:szCs w:val="22"/>
              </w:rPr>
              <w:t xml:space="preserve"> and their effects</w:t>
            </w:r>
            <w:r w:rsidR="009C4C3E" w:rsidRPr="009C4C3E">
              <w:rPr>
                <w:rFonts w:ascii="Arial" w:eastAsia="Arial" w:hAnsi="Arial" w:cs="Arial"/>
                <w:sz w:val="22"/>
                <w:szCs w:val="22"/>
              </w:rPr>
              <w:t xml:space="preserve"> through nested impact pathways.</w:t>
            </w:r>
            <w:r w:rsidR="008362B9">
              <w:rPr>
                <w:rFonts w:ascii="Arial" w:eastAsia="Arial" w:hAnsi="Arial" w:cs="Arial"/>
                <w:sz w:val="22"/>
                <w:szCs w:val="22"/>
              </w:rPr>
              <w:t xml:space="preserve"> </w:t>
            </w:r>
            <w:r w:rsidR="009C4C3E" w:rsidRPr="009C4C3E">
              <w:rPr>
                <w:rFonts w:ascii="Arial" w:eastAsia="Arial" w:hAnsi="Arial" w:cs="Arial"/>
                <w:sz w:val="22"/>
                <w:szCs w:val="22"/>
              </w:rPr>
              <w:t>This meta-model show</w:t>
            </w:r>
            <w:r w:rsidR="004C599F">
              <w:rPr>
                <w:rFonts w:ascii="Arial" w:eastAsia="Arial" w:hAnsi="Arial" w:cs="Arial"/>
                <w:sz w:val="22"/>
                <w:szCs w:val="22"/>
              </w:rPr>
              <w:t xml:space="preserve">s </w:t>
            </w:r>
            <w:r w:rsidR="009C4C3E" w:rsidRPr="009C4C3E">
              <w:rPr>
                <w:rFonts w:ascii="Arial" w:eastAsia="Arial" w:hAnsi="Arial" w:cs="Arial"/>
                <w:sz w:val="22"/>
                <w:szCs w:val="22"/>
              </w:rPr>
              <w:t xml:space="preserve">causal relationships </w:t>
            </w:r>
            <w:r w:rsidR="00BF7417">
              <w:rPr>
                <w:rFonts w:ascii="Arial" w:eastAsia="Arial" w:hAnsi="Arial" w:cs="Arial"/>
                <w:sz w:val="22"/>
                <w:szCs w:val="22"/>
              </w:rPr>
              <w:t xml:space="preserve">(“arrows") </w:t>
            </w:r>
            <w:r w:rsidR="009C4C3E" w:rsidRPr="009C4C3E">
              <w:rPr>
                <w:rFonts w:ascii="Arial" w:eastAsia="Arial" w:hAnsi="Arial" w:cs="Arial"/>
                <w:sz w:val="22"/>
                <w:szCs w:val="22"/>
              </w:rPr>
              <w:t xml:space="preserve">between </w:t>
            </w:r>
            <w:r w:rsidR="00B37F59">
              <w:rPr>
                <w:rFonts w:ascii="Arial" w:eastAsia="Arial" w:hAnsi="Arial" w:cs="Arial"/>
                <w:sz w:val="22"/>
                <w:szCs w:val="22"/>
              </w:rPr>
              <w:t xml:space="preserve">adaptation rationales, </w:t>
            </w:r>
            <w:r w:rsidR="009C4C3E" w:rsidRPr="009C4C3E">
              <w:rPr>
                <w:rFonts w:ascii="Arial" w:eastAsia="Arial" w:hAnsi="Arial" w:cs="Arial"/>
                <w:sz w:val="22"/>
                <w:szCs w:val="22"/>
              </w:rPr>
              <w:t xml:space="preserve">strategies, effects, and </w:t>
            </w:r>
            <w:r w:rsidR="00B37F59">
              <w:rPr>
                <w:rFonts w:ascii="Arial" w:eastAsia="Arial" w:hAnsi="Arial" w:cs="Arial"/>
                <w:sz w:val="22"/>
                <w:szCs w:val="22"/>
              </w:rPr>
              <w:t xml:space="preserve">underlying </w:t>
            </w:r>
            <w:r w:rsidR="009C4C3E" w:rsidRPr="009C4C3E">
              <w:rPr>
                <w:rFonts w:ascii="Arial" w:eastAsia="Arial" w:hAnsi="Arial" w:cs="Arial"/>
                <w:sz w:val="22"/>
                <w:szCs w:val="22"/>
              </w:rPr>
              <w:t xml:space="preserve">factors </w:t>
            </w:r>
            <w:r w:rsidR="00BF7417">
              <w:rPr>
                <w:rFonts w:ascii="Arial" w:eastAsia="Arial" w:hAnsi="Arial" w:cs="Arial"/>
                <w:sz w:val="22"/>
                <w:szCs w:val="22"/>
              </w:rPr>
              <w:t>(“boxes”)</w:t>
            </w:r>
            <w:r w:rsidR="002B7A66">
              <w:rPr>
                <w:rFonts w:ascii="Arial" w:eastAsia="Arial" w:hAnsi="Arial" w:cs="Arial"/>
                <w:sz w:val="22"/>
                <w:szCs w:val="22"/>
              </w:rPr>
              <w:t xml:space="preserve">, </w:t>
            </w:r>
            <w:r w:rsidR="008D79E9">
              <w:rPr>
                <w:rFonts w:ascii="Arial" w:eastAsia="Arial" w:hAnsi="Arial" w:cs="Arial"/>
                <w:sz w:val="22"/>
                <w:szCs w:val="22"/>
              </w:rPr>
              <w:t>assembl</w:t>
            </w:r>
            <w:r w:rsidR="00E51DF8">
              <w:rPr>
                <w:rFonts w:ascii="Arial" w:eastAsia="Arial" w:hAnsi="Arial" w:cs="Arial"/>
                <w:sz w:val="22"/>
                <w:szCs w:val="22"/>
              </w:rPr>
              <w:t>ing</w:t>
            </w:r>
            <w:r w:rsidR="008D79E9">
              <w:rPr>
                <w:rFonts w:ascii="Arial" w:eastAsia="Arial" w:hAnsi="Arial" w:cs="Arial"/>
                <w:sz w:val="22"/>
                <w:szCs w:val="22"/>
              </w:rPr>
              <w:t xml:space="preserve"> </w:t>
            </w:r>
            <w:r w:rsidR="002B7A66">
              <w:rPr>
                <w:rFonts w:ascii="Arial" w:eastAsia="Arial" w:hAnsi="Arial" w:cs="Arial"/>
                <w:sz w:val="22"/>
                <w:szCs w:val="22"/>
              </w:rPr>
              <w:t xml:space="preserve">a framework for understanding </w:t>
            </w:r>
            <w:r w:rsidR="008D79E9">
              <w:rPr>
                <w:rFonts w:ascii="Arial" w:eastAsia="Arial" w:hAnsi="Arial" w:cs="Arial"/>
                <w:sz w:val="22"/>
                <w:szCs w:val="22"/>
              </w:rPr>
              <w:t xml:space="preserve">agriculture </w:t>
            </w:r>
            <w:r w:rsidR="002B7A66">
              <w:rPr>
                <w:rFonts w:ascii="Arial" w:eastAsia="Arial" w:hAnsi="Arial" w:cs="Arial"/>
                <w:sz w:val="22"/>
                <w:szCs w:val="22"/>
              </w:rPr>
              <w:t>adaptation dynamics.</w:t>
            </w:r>
          </w:p>
          <w:p w14:paraId="267E11C6" w14:textId="77777777" w:rsidR="009C4C3E" w:rsidRPr="0003087F" w:rsidRDefault="009C4C3E" w:rsidP="008362B9">
            <w:pPr>
              <w:rPr>
                <w:rFonts w:ascii="Arial" w:eastAsia="Arial" w:hAnsi="Arial" w:cs="Arial"/>
                <w:b/>
                <w:bCs/>
                <w:sz w:val="22"/>
                <w:szCs w:val="22"/>
                <w:lang w:val="en-NZ"/>
              </w:rPr>
            </w:pPr>
          </w:p>
          <w:p w14:paraId="710FD099" w14:textId="018FFB9D" w:rsidR="3A88382A" w:rsidRPr="0003087F" w:rsidRDefault="3A88382A" w:rsidP="008362B9">
            <w:pPr>
              <w:rPr>
                <w:rFonts w:ascii="Arial" w:hAnsi="Arial" w:cs="Arial"/>
                <w:sz w:val="22"/>
                <w:szCs w:val="22"/>
              </w:rPr>
            </w:pPr>
            <w:r w:rsidRPr="0003087F">
              <w:rPr>
                <w:rFonts w:ascii="Arial" w:eastAsia="Arial" w:hAnsi="Arial" w:cs="Arial"/>
                <w:b/>
                <w:bCs/>
                <w:sz w:val="22"/>
                <w:szCs w:val="22"/>
                <w:lang w:val="en-NZ"/>
              </w:rPr>
              <w:t>Methodology</w:t>
            </w:r>
          </w:p>
          <w:p w14:paraId="4DFD50AE" w14:textId="784808C3" w:rsidR="000820F1" w:rsidRPr="00DB5B63" w:rsidRDefault="007B7CCD" w:rsidP="00930828">
            <w:pPr>
              <w:rPr>
                <w:rFonts w:ascii="Arial" w:eastAsia="Arial" w:hAnsi="Arial" w:cs="Arial"/>
                <w:sz w:val="22"/>
                <w:szCs w:val="22"/>
                <w:lang w:val="en-NZ"/>
              </w:rPr>
            </w:pPr>
            <w:r w:rsidRPr="0003087F">
              <w:rPr>
                <w:rFonts w:ascii="Arial" w:eastAsia="Arial" w:hAnsi="Arial" w:cs="Arial"/>
                <w:sz w:val="22"/>
                <w:szCs w:val="22"/>
                <w:lang w:val="en-NZ"/>
              </w:rPr>
              <w:t xml:space="preserve">We </w:t>
            </w:r>
            <w:r w:rsidR="005C7B9B">
              <w:rPr>
                <w:rFonts w:ascii="Arial" w:eastAsia="Arial" w:hAnsi="Arial" w:cs="Arial"/>
                <w:sz w:val="22"/>
                <w:szCs w:val="22"/>
                <w:lang w:val="en-NZ"/>
              </w:rPr>
              <w:t xml:space="preserve">systematically </w:t>
            </w:r>
            <w:r w:rsidRPr="0003087F">
              <w:rPr>
                <w:rFonts w:ascii="Arial" w:eastAsia="Arial" w:hAnsi="Arial" w:cs="Arial"/>
                <w:sz w:val="22"/>
                <w:szCs w:val="22"/>
                <w:lang w:val="en-NZ"/>
              </w:rPr>
              <w:t xml:space="preserve">review </w:t>
            </w:r>
            <w:r w:rsidR="0052379C">
              <w:rPr>
                <w:rFonts w:ascii="Arial" w:eastAsia="Arial" w:hAnsi="Arial" w:cs="Arial"/>
                <w:sz w:val="22"/>
                <w:szCs w:val="22"/>
                <w:lang w:val="en-NZ"/>
              </w:rPr>
              <w:t>a quart</w:t>
            </w:r>
            <w:r w:rsidR="007671D5">
              <w:rPr>
                <w:rFonts w:ascii="Arial" w:eastAsia="Arial" w:hAnsi="Arial" w:cs="Arial"/>
                <w:sz w:val="22"/>
                <w:szCs w:val="22"/>
                <w:lang w:val="en-NZ"/>
              </w:rPr>
              <w:t>er-</w:t>
            </w:r>
            <w:r w:rsidR="0052379C">
              <w:rPr>
                <w:rFonts w:ascii="Arial" w:eastAsia="Arial" w:hAnsi="Arial" w:cs="Arial"/>
                <w:sz w:val="22"/>
                <w:szCs w:val="22"/>
                <w:lang w:val="en-NZ"/>
              </w:rPr>
              <w:t>century of</w:t>
            </w:r>
            <w:r w:rsidR="002B7A66">
              <w:rPr>
                <w:rFonts w:ascii="Arial" w:eastAsia="Arial" w:hAnsi="Arial" w:cs="Arial"/>
                <w:sz w:val="22"/>
                <w:szCs w:val="22"/>
                <w:lang w:val="en-NZ"/>
              </w:rPr>
              <w:t xml:space="preserve"> Africa-focused</w:t>
            </w:r>
            <w:r w:rsidR="0052379C">
              <w:rPr>
                <w:rFonts w:ascii="Arial" w:eastAsia="Arial" w:hAnsi="Arial" w:cs="Arial"/>
                <w:sz w:val="22"/>
                <w:szCs w:val="22"/>
                <w:lang w:val="en-NZ"/>
              </w:rPr>
              <w:t xml:space="preserve"> </w:t>
            </w:r>
            <w:r w:rsidR="668B5AA1" w:rsidRPr="0003087F">
              <w:rPr>
                <w:rFonts w:ascii="Arial" w:eastAsia="Arial" w:hAnsi="Arial" w:cs="Arial"/>
                <w:sz w:val="22"/>
                <w:szCs w:val="22"/>
                <w:lang w:val="en-NZ"/>
              </w:rPr>
              <w:t xml:space="preserve">peer-reviewed and grey </w:t>
            </w:r>
            <w:r w:rsidR="005C7B9B">
              <w:rPr>
                <w:rFonts w:ascii="Arial" w:eastAsia="Arial" w:hAnsi="Arial" w:cs="Arial"/>
                <w:sz w:val="22"/>
                <w:szCs w:val="22"/>
                <w:lang w:val="en-NZ"/>
              </w:rPr>
              <w:t>literature</w:t>
            </w:r>
            <w:r w:rsidR="668B5AA1" w:rsidRPr="0003087F">
              <w:rPr>
                <w:rFonts w:ascii="Arial" w:eastAsia="Arial" w:hAnsi="Arial" w:cs="Arial"/>
                <w:sz w:val="22"/>
                <w:szCs w:val="22"/>
                <w:lang w:val="en-NZ"/>
              </w:rPr>
              <w:t xml:space="preserve"> (2000-2025</w:t>
            </w:r>
            <w:r w:rsidR="668B5AA1" w:rsidRPr="00E97AF9">
              <w:rPr>
                <w:rFonts w:ascii="Arial" w:eastAsia="Arial" w:hAnsi="Arial" w:cs="Arial"/>
                <w:sz w:val="22"/>
                <w:szCs w:val="22"/>
                <w:lang w:val="en-NZ"/>
              </w:rPr>
              <w:t>)</w:t>
            </w:r>
            <w:r w:rsidR="0003087F" w:rsidRPr="00E97AF9">
              <w:rPr>
                <w:rFonts w:ascii="Arial" w:eastAsia="Arial" w:hAnsi="Arial" w:cs="Arial"/>
                <w:sz w:val="22"/>
                <w:szCs w:val="22"/>
                <w:lang w:val="en-NZ"/>
              </w:rPr>
              <w:t>.</w:t>
            </w:r>
            <w:r w:rsidR="005E75B1" w:rsidRPr="00E97AF9">
              <w:rPr>
                <w:rFonts w:ascii="Arial" w:eastAsia="Arial" w:hAnsi="Arial" w:cs="Arial"/>
                <w:sz w:val="22"/>
                <w:szCs w:val="22"/>
                <w:lang w:val="en-NZ"/>
              </w:rPr>
              <w:t xml:space="preserve"> We</w:t>
            </w:r>
            <w:r w:rsidR="002A0C80" w:rsidRPr="00E97AF9">
              <w:rPr>
                <w:rFonts w:ascii="Arial" w:eastAsia="Arial" w:hAnsi="Arial" w:cs="Arial"/>
                <w:sz w:val="22"/>
                <w:szCs w:val="22"/>
                <w:lang w:val="en-NZ"/>
              </w:rPr>
              <w:t xml:space="preserve"> develop a protocol for </w:t>
            </w:r>
            <w:r w:rsidR="001D4146" w:rsidRPr="00E97AF9">
              <w:rPr>
                <w:rFonts w:ascii="Arial" w:eastAsia="Arial" w:hAnsi="Arial" w:cs="Arial"/>
                <w:sz w:val="22"/>
                <w:szCs w:val="22"/>
                <w:lang w:val="en-NZ"/>
              </w:rPr>
              <w:t xml:space="preserve">collecting and </w:t>
            </w:r>
            <w:r w:rsidR="00E97AF9" w:rsidRPr="00E97AF9">
              <w:rPr>
                <w:rFonts w:ascii="Arial" w:eastAsia="Arial" w:hAnsi="Arial" w:cs="Arial"/>
                <w:sz w:val="22"/>
                <w:szCs w:val="22"/>
                <w:lang w:val="en-NZ"/>
              </w:rPr>
              <w:t>analysing</w:t>
            </w:r>
            <w:r w:rsidR="001D4146" w:rsidRPr="00E97AF9">
              <w:rPr>
                <w:rFonts w:ascii="Arial" w:eastAsia="Arial" w:hAnsi="Arial" w:cs="Arial"/>
                <w:sz w:val="22"/>
                <w:szCs w:val="22"/>
                <w:lang w:val="en-NZ"/>
              </w:rPr>
              <w:t xml:space="preserve"> data </w:t>
            </w:r>
            <w:r w:rsidR="00E97AF9" w:rsidRPr="00E97AF9">
              <w:rPr>
                <w:rFonts w:ascii="Arial" w:eastAsia="Arial" w:hAnsi="Arial" w:cs="Arial"/>
                <w:sz w:val="22"/>
                <w:szCs w:val="22"/>
                <w:lang w:val="en-NZ"/>
              </w:rPr>
              <w:t xml:space="preserve">on </w:t>
            </w:r>
            <w:r w:rsidR="002A0C80" w:rsidRPr="00E97AF9">
              <w:rPr>
                <w:rFonts w:ascii="Arial" w:eastAsia="Arial" w:hAnsi="Arial" w:cs="Arial"/>
                <w:sz w:val="22"/>
                <w:szCs w:val="22"/>
                <w:lang w:val="en-NZ"/>
              </w:rPr>
              <w:t>effectiveness and causal mechanisms</w:t>
            </w:r>
            <w:r w:rsidR="005E75B1" w:rsidRPr="00E97AF9">
              <w:rPr>
                <w:rFonts w:ascii="Arial" w:eastAsia="Arial" w:hAnsi="Arial" w:cs="Arial"/>
                <w:sz w:val="22"/>
                <w:szCs w:val="22"/>
                <w:lang w:val="en-NZ"/>
              </w:rPr>
              <w:t xml:space="preserve"> drawing on</w:t>
            </w:r>
            <w:r w:rsidR="00F66915">
              <w:rPr>
                <w:rFonts w:ascii="Arial" w:eastAsia="Arial" w:hAnsi="Arial" w:cs="Arial"/>
                <w:sz w:val="22"/>
                <w:szCs w:val="22"/>
                <w:lang w:val="en-NZ"/>
              </w:rPr>
              <w:t xml:space="preserve"> </w:t>
            </w:r>
            <w:r w:rsidR="005E75B1" w:rsidRPr="00E97AF9">
              <w:rPr>
                <w:rFonts w:ascii="Arial" w:eastAsia="Arial" w:hAnsi="Arial" w:cs="Arial"/>
                <w:sz w:val="22"/>
                <w:szCs w:val="22"/>
                <w:lang w:val="en-NZ"/>
              </w:rPr>
              <w:t xml:space="preserve">causality </w:t>
            </w:r>
            <w:r w:rsidR="00E416F6">
              <w:rPr>
                <w:rFonts w:ascii="Arial" w:eastAsia="Arial" w:hAnsi="Arial" w:cs="Arial"/>
                <w:sz w:val="22"/>
                <w:szCs w:val="22"/>
                <w:lang w:val="en-NZ"/>
              </w:rPr>
              <w:t>theory</w:t>
            </w:r>
            <w:r w:rsidR="00E416F6">
              <w:rPr>
                <w:rFonts w:ascii="Arial" w:eastAsia="Arial" w:hAnsi="Arial" w:cs="Arial"/>
                <w:sz w:val="22"/>
                <w:szCs w:val="22"/>
                <w:lang w:val="en-NZ"/>
              </w:rPr>
              <w:fldChar w:fldCharType="begin"/>
            </w:r>
            <w:r w:rsidR="00E416F6">
              <w:rPr>
                <w:rFonts w:ascii="Arial" w:eastAsia="Arial" w:hAnsi="Arial" w:cs="Arial"/>
                <w:sz w:val="22"/>
                <w:szCs w:val="22"/>
                <w:lang w:val="en-NZ"/>
              </w:rPr>
              <w:instrText xml:space="preserve"> ADDIN ZOTERO_ITEM CSL_CITATION {"citationID":"BaPexa6K","properties":{"formattedCitation":"\\super 9\\nosupersub{}","plainCitation":"9","noteIndex":0},"citationItems":[{"id":7381,"uris":["http://zotero.org/users/8082260/items/XFTD4XPU"],"itemData":{"id":7381,"type":"book","event-place":"New York","publisher":"Basic Books","publisher-place":"New York","source":"PhilPapers","title":"The Book of Why: The New Science of Cause and Effect","title-short":"The Book of Why","author":[{"family":"Pearl","given":"Judea"}],"editor":[{"family":"Mackenzie","given":"Dana"}],"issued":{"date-parts":[["2018"]]},"citation-key":"Pearl2018"}}],"schema":"https://github.com/citation-style-language/schema/raw/master/csl-citation.json"} </w:instrText>
            </w:r>
            <w:r w:rsidR="00E416F6">
              <w:rPr>
                <w:rFonts w:ascii="Arial" w:eastAsia="Arial" w:hAnsi="Arial" w:cs="Arial"/>
                <w:sz w:val="22"/>
                <w:szCs w:val="22"/>
                <w:lang w:val="en-NZ"/>
              </w:rPr>
              <w:fldChar w:fldCharType="separate"/>
            </w:r>
            <w:r w:rsidR="00E416F6" w:rsidRPr="00E416F6">
              <w:rPr>
                <w:rFonts w:ascii="Arial" w:hAnsi="Arial" w:cs="Arial"/>
                <w:sz w:val="22"/>
                <w:vertAlign w:val="superscript"/>
              </w:rPr>
              <w:t>9</w:t>
            </w:r>
            <w:r w:rsidR="00E416F6">
              <w:rPr>
                <w:rFonts w:ascii="Arial" w:eastAsia="Arial" w:hAnsi="Arial" w:cs="Arial"/>
                <w:sz w:val="22"/>
                <w:szCs w:val="22"/>
                <w:lang w:val="en-NZ"/>
              </w:rPr>
              <w:fldChar w:fldCharType="end"/>
            </w:r>
            <w:r w:rsidR="005E75B1" w:rsidRPr="00E97AF9">
              <w:rPr>
                <w:rFonts w:ascii="Arial" w:eastAsia="Arial" w:hAnsi="Arial" w:cs="Arial"/>
                <w:sz w:val="22"/>
                <w:szCs w:val="22"/>
                <w:lang w:val="en-NZ"/>
              </w:rPr>
              <w:t>, evaluation</w:t>
            </w:r>
            <w:r w:rsidR="00D84C52">
              <w:rPr>
                <w:rFonts w:ascii="Arial" w:eastAsia="Arial" w:hAnsi="Arial" w:cs="Arial"/>
                <w:sz w:val="22"/>
                <w:szCs w:val="22"/>
                <w:lang w:val="en-NZ"/>
              </w:rPr>
              <w:fldChar w:fldCharType="begin"/>
            </w:r>
            <w:r w:rsidR="00EA0328">
              <w:rPr>
                <w:rFonts w:ascii="Arial" w:eastAsia="Arial" w:hAnsi="Arial" w:cs="Arial"/>
                <w:sz w:val="22"/>
                <w:szCs w:val="22"/>
                <w:lang w:val="en-NZ"/>
              </w:rPr>
              <w:instrText xml:space="preserve"> ADDIN ZOTERO_ITEM CSL_CITATION {"citationID":"9MRKjAVF","properties":{"formattedCitation":"\\super 10\\uc0\\u8211{}12\\nosupersub{}","plainCitation":"10–12","noteIndex":0},"citationItems":[{"id":7364,"uris":["http://zotero.org/users/8082260/items/AVMP6M92"],"itemData":{"id":7364,"type":"report","abstract":"Understanding the extent to which an intervention ‘works’ can provide compelling evidence to decision-makers, although without an accompanying explanation of how an intervention works, this evidence can be difficult to apply in other settings, ultimately impeding its usefulness in making judicious and evidence-informed decisions. In this paper, we describe causal chain analysis as involving the development of a logic model, which outlines graphically a hypothesis of how an intervention leads to a change in an outcome. This logic model is then used to anchor subsequent decisions in the systematic review process, including decisions on synthesis. In this paper, we outline the steps taken in building a logic model, which usually consists of a series of boxes depicting intervention components and processes, outputs, and outcomes with arrows depicting connecting relationships. The nature of these connecting relationships and their basis in causality are considered, through a focus on complex causal relationships and the way in which contextual factors about the intervention setting or population may moderate these. We also explore the way in which specific combinations of intervention components may lead to successful interventions. Evidence synthesis techniques are discussed in the context of causal chain analysis, and their usefulness in exploring different parts of the causal chain or different types of relationship. The approaches outlined in this paper aim to assist systematic reviewers in producing findings that are useful to decision-makers and practitioners, and in turn, help to confirm existing theories or develop entirely new ways of understanding how interventions to effect change.","language":"en","note":"DOI: 10.51744/CIP4","publisher":"Centre for Excellence and Development Impact and Learning (CEDIL)","source":"DOI.org (Crossref)","title":"Causal chain analysis in systematic reviews of international development interventions","URL":"https://policycommons.net/artifacts/3784766/cedil-inception-paper-4-casual-chain-analysis/4590528/","author":[{"family":"Kneale","given":"Dylan"},{"family":"Thomas","given":"James"},{"family":"Bangpan","given":"Mukdarut"},{"family":"Waddington","given":"Hugh"},{"family":"Gough","given":"David"}],"accessed":{"date-parts":[["2025",2,27]]},"issued":{"date-parts":[["2018"]]},"citation-key":"Kneale2018"}},{"id":1091,"uris":["http://zotero.org/users/8082260/items/8VDBT3Q9"],"itemData":{"id":1091,"type":"report","abstract":"This paper explores methodological approaches that can be used to monitor and evaluate climate change adaptation initiatives at the projects and programme levels. It examines approaches that have been used in other areas of development practice to see what lessons have been learned that can inform the development of monitoring and evaluation frameworks targeted at adaptation. The paper focuses on three methodological challenges related to monitoring and evaluation that are particularly relevant for adaptation: i) assessing attribution, ii) establishing baselines and targets, and iii) dealing with long time horizons. The paper also considers the importance of on-going learning in evaluation and the benefit of applying a comprehensive approach to monitoring and evaluation, building on tested practices from participatory methods and social sciences techniques.","genre":"OECD Environment Working Papers","language":"en","note":"collection-title: OECD Environment Working Papers\nvolume: 74\nDOI: 10.1787/5jxrclr0ntjd-en","number":"74","source":"DOI.org (Crossref)","title":"Monitoring and Evaluation of Climate Change Adaptation: Methodological Approaches","title-short":"Monitoring and Evaluation of Climate Change Adaptation","URL":"https://www.oecd-ilibrary.org/environment/monitoring-and-evaluation-of-climate-change-adaptation_5jxrclr0ntjd-en","author":[{"family":"Dinshaw","given":"Ayesha"},{"family":"Fisher","given":"Susannah"},{"family":"McGray","given":"Heather"},{"family":"Rai","given":"Neha"},{"family":"Schaar","given":"Johan"}],"accessed":{"date-parts":[["2022",7,4]]},"issued":{"date-parts":[["2014",12,2]]},"citation-key":"Dinshaw2014"}},{"id":4547,"uris":["http://zotero.org/users/8082260/items/CL9STPCT"],"itemData":{"id":4547,"type":"article-journal","abstract":"Measuring the effectiveness of adaptation and tracking collective progress has received increasing attention across the domains of policy, finance and research. This is linked to the need to monitor and evaluate bilateral and multilateral adaptation finance as well as a commitment in the Paris Agreement to a collective global goal on adaptation and assessing the adequacy and effectiveness of adaptation in the global stocktake. In this viewpoint I argue that this focus on defining and measuring adaptation progress has underplayed the importance of how measurement might influence action. Engaging with diverse scholarship on knowledge practices and measurement opens up new perspectives on how measurement might play a role in governing adaptation across scales and the role of experts and forms of knowledge in shaping implementation. These also open up new policy-relevant questions around how metrics can best be designed to be support transformative adaptation action through mechanisms such as incentives, norms and framing. This viewpoint outlines the empirical context and policy space of internationally-financed adaptation efforts, drawing in relevant scholarship applied in similar domains to define an emerging research agenda on the measurement of adaptation as a social and political process that shapes policy, finance and implementation across multiple scales.","container-title":"Climate and Development","DOI":"10.1080/17565529.2023.2204070","ISSN":"1756-5529","issue":"2","note":"publisher: Taylor &amp; Francis\n_eprint: https://doi.org/10.1080/17565529.2023.2204070","page":"161-167","source":"Taylor and Francis+NEJM","title":"Much ado about nothing? Why adaptation measurement matters","title-short":"Much ado about nothing?","URL":"https://doi.org/10.1080/17565529.2023.2204070","volume":"16","author":[{"family":"Fisher","given":"Susannah"}],"accessed":{"date-parts":[["2023",11,3]]},"issued":{"date-parts":[["2023"]]},"citation-key":"Fisher2023"}}],"schema":"https://github.com/citation-style-language/schema/raw/master/csl-citation.json"} </w:instrText>
            </w:r>
            <w:r w:rsidR="00D84C52">
              <w:rPr>
                <w:rFonts w:ascii="Arial" w:eastAsia="Arial" w:hAnsi="Arial" w:cs="Arial"/>
                <w:sz w:val="22"/>
                <w:szCs w:val="22"/>
                <w:lang w:val="en-NZ"/>
              </w:rPr>
              <w:fldChar w:fldCharType="separate"/>
            </w:r>
            <w:r w:rsidR="00EA0328" w:rsidRPr="00EA0328">
              <w:rPr>
                <w:rFonts w:ascii="Arial" w:hAnsi="Arial" w:cs="Arial"/>
                <w:sz w:val="22"/>
                <w:vertAlign w:val="superscript"/>
              </w:rPr>
              <w:t>10–12</w:t>
            </w:r>
            <w:r w:rsidR="00D84C52">
              <w:rPr>
                <w:rFonts w:ascii="Arial" w:eastAsia="Arial" w:hAnsi="Arial" w:cs="Arial"/>
                <w:sz w:val="22"/>
                <w:szCs w:val="22"/>
                <w:lang w:val="en-NZ"/>
              </w:rPr>
              <w:fldChar w:fldCharType="end"/>
            </w:r>
            <w:r w:rsidR="005E75B1" w:rsidRPr="00E97AF9">
              <w:rPr>
                <w:rFonts w:ascii="Arial" w:eastAsia="Arial" w:hAnsi="Arial" w:cs="Arial"/>
                <w:sz w:val="22"/>
                <w:szCs w:val="22"/>
                <w:lang w:val="en-NZ"/>
              </w:rPr>
              <w:t>, adaptation</w:t>
            </w:r>
            <w:r w:rsidR="00DB5B63">
              <w:rPr>
                <w:rFonts w:ascii="Arial" w:eastAsia="Arial" w:hAnsi="Arial" w:cs="Arial"/>
                <w:sz w:val="22"/>
                <w:szCs w:val="22"/>
                <w:lang w:val="en-NZ"/>
              </w:rPr>
              <w:fldChar w:fldCharType="begin"/>
            </w:r>
            <w:r w:rsidR="00EA0328">
              <w:rPr>
                <w:rFonts w:ascii="Arial" w:eastAsia="Arial" w:hAnsi="Arial" w:cs="Arial"/>
                <w:sz w:val="22"/>
                <w:szCs w:val="22"/>
                <w:lang w:val="en-NZ"/>
              </w:rPr>
              <w:instrText xml:space="preserve"> ADDIN ZOTERO_ITEM CSL_CITATION {"citationID":"FxHpu3uD","properties":{"formattedCitation":"\\super 13\\uc0\\u8211{}15\\nosupersub{}","plainCitation":"13–15","noteIndex":0},"citationItems":[{"id":6477,"uris":["http://zotero.org/users/8082260/items/MKJNEN9U"],"itemData":{"id":6477,"type":"article-journal","abstract":"Abstract\n            \n              Tracking progress towards the Global Goal on Adaptation requires documentation of countries’ intentions, against which future progress can be measured. The extent to which existing national policy documents provide adequate baselines is unclear. We evaluated the adequacy of African Nationally Determined Contributions (NDCs) (\n              N\n               = 53) and National Adaptation Plans (NAPs) (\n              N\n               = 15) against three criteria—coverage, consistency and robustness—mapped to the adaptation cycle. Fifty-three percent of NAPs and 8% of NDCs cover all elements needed for providing sufficient baselines for tracking adaptation progress. Only 40% and 9% of the NAPs and NDCs, respectively, provide consistent links between climate risk assessment, planning, implementation and tracking. No document provided fully robust indicators to operationalize tracking. Notable efforts towards adequacy exist, especially in NAPs. The findings illustrate continental-scale advances and shortcomings for tracking progress, and emphasize opportunities in upcoming NDC revisions and NAP processes to enhance their coverage, consistency and robustness for future adaptation tracking.","container-title":"Nature Climate Change","DOI":"10.1038/s41558-024-02054-7","ISSN":"1758-678X, 1758-6798","journalAbbreviation":"Nat. Clim. Chang.","language":"en","source":"DOI.org (Crossref)","title":"Opportunities to strengthen Africa’s efforts to track national-level climate adaptation","URL":"https://www.nature.com/articles/s41558-024-02054-7","author":[{"family":"Nowak","given":"Andreea C."},{"family":"Njuguna","given":"Lucy"},{"family":"Ramirez-Villegas","given":"Julian"},{"family":"Reidsma","given":"Pytrik"},{"family":"Crumpler","given":"Krystal"},{"family":"Rosenstock","given":"Todd S."}],"accessed":{"date-parts":[["2024",7,25]]},"issued":{"date-parts":[["2024",7,19]]},"citation-key":"Nowak2024"}},{"id":3169,"uris":["http://zotero.org/users/8082260/items/JWP44AA3"],"itemData":{"id":3169,"type":"article-journal","abstract":"Efforts to achieve coordinated, effective, and impactful adaptation outcomes are complicated by factors ranging from the local specificity of adaptation needs to the challenges of politics and prioritization that drive funding decisions. However, these and other challenges are perpetuated and exacerbated by poorly constructed, often implicit, and generally institution- or context-specific impact pathways connecting policy/institutional priorities through their materialization in specific actions to their intended outcomes. We call these impact pathways adaptation rationales, as they represent the logic of an adaptation action. The implicit nature of most current adaptation rationales makes it difficult to identify and test the accuracy and veracity of claims and assumptions underlying everything from policy priorities to intervention selection. In this article, we address this foundational challenge for the adaptation community of practice by proposing a typology of adaptation benefits (reduced exposure, reduced sensitivity, and increased adaptive capacity) that facilitates the construction of meaningful, transparent adaptation rationales. We lay out what these well-understood components of vulnerability mean in the context of adaptation benefits and provide guiding questions for their use in constructing adaptation rationales. Using hypothetical and real-world examples of projects and portfolios, we illustrate how this typology and the adaptation rationales it enables focus attention on the goals of a given action, its likely effectiveness, and for whom it is likely to be effective. Each of these issues offers an opportunity to strengthen project design, implementation, monitoring, and evaluation, while also facilitating portfolio-level understandings of adaptation approaches, assumptions, and efficacy. This typology does not, by itself, presume to resolve the many debates in adaptation practice, such as the tension between incremental and transformational goals, the tradeoffs between actions addressing exposure via infrastructure versus those aimed at the underlying structures of inequality that render some populations more vulnerable to these impacts than others. However, by bringing issues of governance and justice the forefront of adaptation conversations, the typology, and the adaptation rationales it enables, allows for the productive, situationally-appropriate negotiation of these debates to improve the outcomes of adaptation policy and action.","container-title":"Climate Risk Management","DOI":"10.1016/j.crm.2023.100479","ISSN":"2212-0963","journalAbbreviation":"Climate Risk Management","language":"en","page":"100479","source":"ScienceDirect","title":"Adaptation rationales and benefits: A foundation for understanding adaptation impact","title-short":"Adaptation rationales and benefits","URL":"https://www.sciencedirect.com/science/article/pii/S2212096323000050","volume":"39","author":[{"family":"Carr","given":"Edward R."},{"family":"Nalau","given":"Johanna"}],"accessed":{"date-parts":[["2023",2,15]]},"issued":{"date-parts":[["2023",1,1]]},"citation-key":"Carr2023a"}},{"id":6498,"uris":["http://zotero.org/users/8082260/items/G8RVKZKT"],"itemData":{"id":6498,"type":"article-journal","abstract":"Climate related changes are already affecting every area of our world and will increasingly do so as global warming increases, resulting in compounding and cascading risks across multiple locations and sectors. Deliberative processes and anticipatory actions are required to adapt to the associated complex and uncertain systemic risks, with dynamic and long-term planning needed even where there is limited knowledge of the effectiveness of adaptation. In this focus article, we examine the adaptation pathways developed for the Europe Chapter of the IPCC AR6. We argue that illustrative pathways built on quantitative and qualitative assessment of adaptation effectiveness can inform adaptation planning to manage the increasing severity of risks. We find that as the global warming level increases adaptation pathways can diverge, leading to radically different futures, for example, adaptation responses to sea level rise. We illustrate how adaptation measures for different risks interact resulting in trade-offs, for example, increasing water scarcity. Although pathways offer a useful framework to address multiple adaptation challenges, other supporting conditions are needed for the successful implementation of adaptation, such as establishing legitimacy and buy-in through collaboration of various actors and effective governance. Ultimately, adaptation will be increasingly more complex and constrained in a warmer world, increasing risks of losses and damages to people and nature. This article is categorized under: Vulnerability and Adaptation to Climate Change &gt; Institutions for Adaptation The Social Status of Climate Change Knowledge &gt; Climate Science and Decision Making Assessing Impacts of Climate Change &gt; Evaluating Future Impacts of Climate Change Vulnerability and Adaptation to Climate Change &gt; Learning from Cases and Analogies","container-title":"WIREs Climate Change","DOI":"10.1002/wcc.883","ISSN":"1757-7799","issue":"4","language":"en","license":"© 2024 The Authors. WIREs Climate Change published by Wiley Periodicals LLC.","note":"_eprint: https://wires.onlinelibrary.wiley.com/doi/pdf/10.1002/wcc.883","page":"e883","source":"Wiley Online Library","title":"Adaptation pathways for effective responses to climate change risks","URL":"https://onlinelibrary-wiley-com.ezproxy.library.wur.nl/doi/abs/10.1002/wcc.883","volume":"15","author":[{"family":"Muccione","given":"Veruska"},{"family":"Haasnoot","given":"Marjolijn"},{"family":"Alexander","given":"Peter"},{"family":"Bednar-Friedl","given":"Birgit"},{"family":"Biesbroek","given":"Robbert"},{"family":"Georgopoulou","given":"Elena"},{"family":"Le Cozannet","given":"Gonéri"},{"family":"Schmidt","given":"Daniela N."}],"accessed":{"date-parts":[["2024",7,29]]},"issued":{"date-parts":[["2024"]]},"citation-key":"Muccione2024"}}],"schema":"https://github.com/citation-style-language/schema/raw/master/csl-citation.json"} </w:instrText>
            </w:r>
            <w:r w:rsidR="00DB5B63">
              <w:rPr>
                <w:rFonts w:ascii="Arial" w:eastAsia="Arial" w:hAnsi="Arial" w:cs="Arial"/>
                <w:sz w:val="22"/>
                <w:szCs w:val="22"/>
                <w:lang w:val="en-NZ"/>
              </w:rPr>
              <w:fldChar w:fldCharType="separate"/>
            </w:r>
            <w:r w:rsidR="00EA0328" w:rsidRPr="00EA0328">
              <w:rPr>
                <w:rFonts w:ascii="Arial" w:hAnsi="Arial" w:cs="Arial"/>
                <w:sz w:val="22"/>
                <w:vertAlign w:val="superscript"/>
              </w:rPr>
              <w:t>13–15</w:t>
            </w:r>
            <w:r w:rsidR="00DB5B63">
              <w:rPr>
                <w:rFonts w:ascii="Arial" w:eastAsia="Arial" w:hAnsi="Arial" w:cs="Arial"/>
                <w:sz w:val="22"/>
                <w:szCs w:val="22"/>
                <w:lang w:val="en-NZ"/>
              </w:rPr>
              <w:fldChar w:fldCharType="end"/>
            </w:r>
            <w:r w:rsidR="005E75B1" w:rsidRPr="00E97AF9">
              <w:rPr>
                <w:rFonts w:ascii="Arial" w:eastAsia="Arial" w:hAnsi="Arial" w:cs="Arial"/>
                <w:sz w:val="22"/>
                <w:szCs w:val="22"/>
                <w:lang w:val="en-NZ"/>
              </w:rPr>
              <w:t xml:space="preserve"> </w:t>
            </w:r>
            <w:r w:rsidR="00D97F75">
              <w:rPr>
                <w:rFonts w:ascii="Arial" w:eastAsia="Arial" w:hAnsi="Arial" w:cs="Arial"/>
                <w:sz w:val="22"/>
                <w:szCs w:val="22"/>
                <w:lang w:val="en-NZ"/>
              </w:rPr>
              <w:t xml:space="preserve">and sustainability </w:t>
            </w:r>
            <w:r w:rsidR="005E75B1" w:rsidRPr="00E97AF9">
              <w:rPr>
                <w:rFonts w:ascii="Arial" w:eastAsia="Arial" w:hAnsi="Arial" w:cs="Arial"/>
                <w:sz w:val="22"/>
                <w:szCs w:val="22"/>
                <w:lang w:val="en-NZ"/>
              </w:rPr>
              <w:t>science</w:t>
            </w:r>
            <w:r w:rsidR="00D97F75">
              <w:rPr>
                <w:rFonts w:ascii="Arial" w:eastAsia="Arial" w:hAnsi="Arial" w:cs="Arial"/>
                <w:sz w:val="22"/>
                <w:szCs w:val="22"/>
                <w:lang w:val="en-NZ"/>
              </w:rPr>
              <w:fldChar w:fldCharType="begin"/>
            </w:r>
            <w:r w:rsidR="00EA0328">
              <w:rPr>
                <w:rFonts w:ascii="Arial" w:eastAsia="Arial" w:hAnsi="Arial" w:cs="Arial"/>
                <w:sz w:val="22"/>
                <w:szCs w:val="22"/>
                <w:lang w:val="en-NZ"/>
              </w:rPr>
              <w:instrText xml:space="preserve"> ADDIN ZOTERO_ITEM CSL_CITATION {"citationID":"9TX71YKY","properties":{"formattedCitation":"\\super 16,17\\nosupersub{}","plainCitation":"16,17","noteIndex":0},"citationItems":[{"id":6479,"uris":["http://zotero.org/users/8082260/items/32IJ36FJ"],"itemData":{"id":6479,"type":"article-journal","abstract":"Scientists seek to understand the causal processes that generate sustainability problems and determine effective solutions. Yet, causal inquiry in nature–society systems is hampered by conceptual and methodological challenges that arise from nature–society interdependencies and the complex dynamics they create. Here, we demonstrate how sustainability scientists can address these challenges and make more robust causal claims through better integration between empirical analyses and process- or agent-based modeling. To illustrate how these different epistemological traditions can be integrated, we present four studies of air pollution regulation, natural resource management, and the spread of COVID-19. The studies show how integration can improve empirical estimates of causal effects, inform future research designs and data collection, enhance understanding of the complex dynamics that underlie observed temporal patterns, and elucidate causal mechanisms and the contexts in which they operate. These advances in causal understanding can help sustainability scientists develop better theories of phenomena where social and ecological processes are dynamically intertwined and prior causal knowledge and data are limited. The improved causal understanding also enhances governance by helping scientists and practitioners choose among potential interventions, decide when and how the timing of an intervention matters, and anticipate unexpected outcomes. Methodological integration, however, requires skills and efforts of all involved to learn how members of the respective other tradition think and analyze nature–society systems.","container-title":"Proceedings of the National Academy of Sciences","DOI":"10.1073/pnas.2215676120","issue":"41","note":"publisher: Proceedings of the National Academy of Sciences","page":"e2215676120","source":"www-pnas-org.ezproxy.library.wur.nl (Atypon)","title":"Unraveling complex causal processes that affect sustainability requires more integration between empirical and modeling approaches","URL":"https://www-pnas-org.ezproxy.library.wur.nl/doi/10.1073/pnas.2215676120","volume":"120","author":[{"family":"Schlüter","given":"Maja"},{"family":"Brelsford","given":"Christa"},{"family":"Ferraro","given":"Paul J."},{"family":"Orach","given":"Kirill"},{"family":"Qiu","given":"Minghao"},{"family":"Smith","given":"Martin D."}],"accessed":{"date-parts":[["2024",7,29]]},"issued":{"date-parts":[["2023",10,10]]},"citation-key":"Schluter2023"}},{"id":6503,"uris":["http://zotero.org/users/8082260/items/L2SGV873"],"itemData":{"id":6503,"type":"article-journal","abstract":"Causal effects of biodiversity on ecosystem functions can be estimated using experimental or observational designs — designs that pose a tradeoff between drawing credible causal inferences from correlations and drawing generalizable inferences. Here, we develop a design that reduces this tradeoff and revisits the question of how plant species diversity affects productivity. Our design leverages longitudinal data from 43 grasslands in 11 countries and approaches borrowed from fields outside of ecology to draw causal inferences from observational data. Contrary to many prior studies, we estimate that increases in plot-level species richness caused productivity to decline: a 10% increase in richness decreased productivity by 2.4%, 95% CI [−4.1, −0.74]. This contradiction stems from two sources. First, prior observational studies incompletely control for confounding factors. Second, most experiments plant fewer rare and non-native species than exist in nature. Although increases in native, dominant species increased productivity, increases in rare and non-native species decreased productivity, making the average effect negative in our study. By reducing the tradeoff between experimental and observational designs, our study demonstrates how observational studies can complement prior ecological experiments and inform future ones.","container-title":"Nature Communications","DOI":"10.1038/s41467-023-37194-5","ISSN":"2041-1723","issue":"1","journalAbbreviation":"Nat Commun","language":"en","license":"2023 The Author(s)","note":"publisher: Nature Publishing Group","page":"2607","source":"www-nature-com.ezproxy.library.wur.nl","title":"Clarifying the effect of biodiversity on productivity in natural ecosystems with longitudinal data and methods for causal inference","URL":"https://www-nature-com.ezproxy.library.wur.nl/articles/s41467-023-37194-5","volume":"14","author":[{"family":"Dee","given":"Laura E."},{"family":"Ferraro","given":"Paul J."},{"family":"Severen","given":"Christopher N."},{"family":"Kimmel","given":"Kaitlin A."},{"family":"Borer","given":"Elizabeth T."},{"family":"Byrnes","given":"Jarrett E. K."},{"family":"Clark","given":"Adam Thomas"},{"family":"Hautier","given":"Yann"},{"family":"Hector","given":"Andrew"},{"family":"Raynaud","given":"Xavier"},{"family":"Reich","given":"Peter B."},{"family":"Wright","given":"Alexandra J."},{"family":"Arnillas","given":"Carlos A."},{"family":"Davies","given":"Kendi F."},{"family":"MacDougall","given":"Andrew"},{"family":"Mori","given":"Akira S."},{"family":"Smith","given":"Melinda D."},{"family":"Adler","given":"Peter B."},{"family":"Bakker","given":"Jonathan D."},{"family":"Brauman","given":"Kate A."},{"family":"Cowles","given":"Jane"},{"family":"Komatsu","given":"Kimberly"},{"family":"Knops","given":"Johannes M. H."},{"family":"McCulley","given":"Rebecca L."},{"family":"Moore","given":"Joslin L."},{"family":"Morgan","given":"John W."},{"family":"Ohlert","given":"Timothy"},{"family":"Power","given":"Sally A."},{"family":"Sullivan","given":"Lauren L."},{"family":"Stevens","given":"Carly"},{"family":"Loreau","given":"Michel"}],"accessed":{"date-parts":[["2024",7,30]]},"issued":{"date-parts":[["2023",5,5]]},"citation-key":"Dee2023"}}],"schema":"https://github.com/citation-style-language/schema/raw/master/csl-citation.json"} </w:instrText>
            </w:r>
            <w:r w:rsidR="00D97F75">
              <w:rPr>
                <w:rFonts w:ascii="Arial" w:eastAsia="Arial" w:hAnsi="Arial" w:cs="Arial"/>
                <w:sz w:val="22"/>
                <w:szCs w:val="22"/>
                <w:lang w:val="en-NZ"/>
              </w:rPr>
              <w:fldChar w:fldCharType="separate"/>
            </w:r>
            <w:r w:rsidR="00EA0328" w:rsidRPr="00EA0328">
              <w:rPr>
                <w:rFonts w:ascii="Arial" w:hAnsi="Arial" w:cs="Arial"/>
                <w:sz w:val="22"/>
                <w:vertAlign w:val="superscript"/>
              </w:rPr>
              <w:t>16,17</w:t>
            </w:r>
            <w:r w:rsidR="00D97F75">
              <w:rPr>
                <w:rFonts w:ascii="Arial" w:eastAsia="Arial" w:hAnsi="Arial" w:cs="Arial"/>
                <w:sz w:val="22"/>
                <w:szCs w:val="22"/>
                <w:lang w:val="en-NZ"/>
              </w:rPr>
              <w:fldChar w:fldCharType="end"/>
            </w:r>
            <w:r w:rsidR="005E75B1" w:rsidRPr="00E97AF9">
              <w:rPr>
                <w:rFonts w:ascii="Arial" w:eastAsia="Arial" w:hAnsi="Arial" w:cs="Arial"/>
                <w:sz w:val="22"/>
                <w:szCs w:val="22"/>
                <w:lang w:val="en-NZ"/>
              </w:rPr>
              <w:t>.</w:t>
            </w:r>
            <w:r w:rsidR="002709C6" w:rsidRPr="00E97AF9">
              <w:rPr>
                <w:rFonts w:ascii="Arial" w:eastAsia="Arial" w:hAnsi="Arial" w:cs="Arial"/>
                <w:sz w:val="22"/>
                <w:szCs w:val="22"/>
                <w:lang w:val="en-NZ"/>
              </w:rPr>
              <w:t xml:space="preserve"> </w:t>
            </w:r>
            <w:r w:rsidR="007A5263" w:rsidRPr="00E97AF9">
              <w:rPr>
                <w:rFonts w:ascii="Arial" w:eastAsia="Arial" w:hAnsi="Arial" w:cs="Arial"/>
                <w:sz w:val="22"/>
                <w:szCs w:val="22"/>
                <w:lang w:val="en-NZ"/>
              </w:rPr>
              <w:t xml:space="preserve">We </w:t>
            </w:r>
            <w:r w:rsidR="00B10FA9" w:rsidRPr="00E97AF9">
              <w:rPr>
                <w:rFonts w:ascii="Arial" w:eastAsia="Arial" w:hAnsi="Arial" w:cs="Arial"/>
                <w:sz w:val="22"/>
                <w:szCs w:val="22"/>
                <w:lang w:val="en-NZ"/>
              </w:rPr>
              <w:t>combine</w:t>
            </w:r>
            <w:r w:rsidR="007A5263" w:rsidRPr="00E97AF9">
              <w:rPr>
                <w:rFonts w:ascii="Arial" w:eastAsia="Arial" w:hAnsi="Arial" w:cs="Arial"/>
                <w:sz w:val="22"/>
                <w:szCs w:val="22"/>
                <w:lang w:val="en-NZ"/>
              </w:rPr>
              <w:t xml:space="preserve"> </w:t>
            </w:r>
            <w:r w:rsidR="002709C6" w:rsidRPr="00E97AF9">
              <w:rPr>
                <w:rFonts w:ascii="Arial" w:eastAsia="Arial" w:hAnsi="Arial" w:cs="Arial"/>
                <w:sz w:val="22"/>
                <w:szCs w:val="22"/>
                <w:lang w:val="en-NZ"/>
              </w:rPr>
              <w:t>human-led</w:t>
            </w:r>
            <w:r w:rsidR="007A5263" w:rsidRPr="00E97AF9">
              <w:rPr>
                <w:rFonts w:ascii="Arial" w:eastAsia="Arial" w:hAnsi="Arial" w:cs="Arial"/>
                <w:sz w:val="22"/>
                <w:szCs w:val="22"/>
                <w:lang w:val="en-NZ"/>
              </w:rPr>
              <w:t xml:space="preserve"> </w:t>
            </w:r>
            <w:r w:rsidR="00D97F75">
              <w:rPr>
                <w:rFonts w:ascii="Arial" w:eastAsia="Arial" w:hAnsi="Arial" w:cs="Arial"/>
                <w:sz w:val="22"/>
                <w:szCs w:val="22"/>
                <w:lang w:val="en-NZ"/>
              </w:rPr>
              <w:t>with</w:t>
            </w:r>
            <w:r w:rsidR="007A5263" w:rsidRPr="00E97AF9">
              <w:rPr>
                <w:rFonts w:ascii="Arial" w:eastAsia="Arial" w:hAnsi="Arial" w:cs="Arial"/>
                <w:sz w:val="22"/>
                <w:szCs w:val="22"/>
                <w:lang w:val="en-NZ"/>
              </w:rPr>
              <w:t xml:space="preserve"> machine learning techniques to label, screen</w:t>
            </w:r>
            <w:r w:rsidR="00E97AF9">
              <w:rPr>
                <w:rFonts w:ascii="Arial" w:eastAsia="Arial" w:hAnsi="Arial" w:cs="Arial"/>
                <w:sz w:val="22"/>
                <w:szCs w:val="22"/>
                <w:lang w:val="en-NZ"/>
              </w:rPr>
              <w:t>,</w:t>
            </w:r>
            <w:r w:rsidR="007A5263" w:rsidRPr="00E97AF9">
              <w:rPr>
                <w:rFonts w:ascii="Arial" w:eastAsia="Arial" w:hAnsi="Arial" w:cs="Arial"/>
                <w:sz w:val="22"/>
                <w:szCs w:val="22"/>
                <w:lang w:val="en-NZ"/>
              </w:rPr>
              <w:t xml:space="preserve"> and extract </w:t>
            </w:r>
            <w:r w:rsidR="00D501CE" w:rsidRPr="00E97AF9">
              <w:rPr>
                <w:rFonts w:ascii="Arial" w:eastAsia="Arial" w:hAnsi="Arial" w:cs="Arial"/>
                <w:sz w:val="22"/>
                <w:szCs w:val="22"/>
                <w:lang w:val="en-NZ"/>
              </w:rPr>
              <w:t>data</w:t>
            </w:r>
            <w:r w:rsidR="0003087F" w:rsidRPr="00E97AF9">
              <w:rPr>
                <w:rFonts w:ascii="Arial" w:eastAsia="Arial" w:hAnsi="Arial" w:cs="Arial"/>
                <w:sz w:val="22"/>
                <w:szCs w:val="22"/>
                <w:lang w:val="en-NZ"/>
              </w:rPr>
              <w:t>.</w:t>
            </w:r>
            <w:r w:rsidR="00943D8B" w:rsidRPr="00E97AF9">
              <w:rPr>
                <w:rFonts w:ascii="Arial" w:eastAsia="Arial" w:hAnsi="Arial" w:cs="Arial"/>
                <w:sz w:val="22"/>
                <w:szCs w:val="22"/>
                <w:lang w:val="en-NZ"/>
              </w:rPr>
              <w:t xml:space="preserve"> For each </w:t>
            </w:r>
            <w:r w:rsidR="00E31D30" w:rsidRPr="00E97AF9">
              <w:rPr>
                <w:rFonts w:ascii="Arial" w:eastAsia="Arial" w:hAnsi="Arial" w:cs="Arial"/>
                <w:sz w:val="22"/>
                <w:szCs w:val="22"/>
                <w:lang w:val="en-NZ"/>
              </w:rPr>
              <w:t>agricultural strategy (</w:t>
            </w:r>
            <w:r w:rsidR="00E31D30" w:rsidRPr="00E97AF9">
              <w:rPr>
                <w:rFonts w:ascii="Arial" w:eastAsia="Arial" w:hAnsi="Arial" w:cs="Arial"/>
                <w:i/>
                <w:iCs/>
                <w:sz w:val="22"/>
                <w:szCs w:val="22"/>
                <w:lang w:val="en-NZ"/>
              </w:rPr>
              <w:t>e.g.,</w:t>
            </w:r>
            <w:r w:rsidR="00E31D30" w:rsidRPr="00E97AF9">
              <w:rPr>
                <w:rFonts w:ascii="Arial" w:eastAsia="Arial" w:hAnsi="Arial" w:cs="Arial"/>
                <w:sz w:val="22"/>
                <w:szCs w:val="22"/>
                <w:lang w:val="en-NZ"/>
              </w:rPr>
              <w:t xml:space="preserve"> ind</w:t>
            </w:r>
            <w:r w:rsidR="00926AEA" w:rsidRPr="00E97AF9">
              <w:rPr>
                <w:rFonts w:ascii="Arial" w:eastAsia="Arial" w:hAnsi="Arial" w:cs="Arial"/>
                <w:sz w:val="22"/>
                <w:szCs w:val="22"/>
                <w:lang w:val="en-NZ"/>
              </w:rPr>
              <w:t>ex</w:t>
            </w:r>
            <w:r w:rsidR="00E31D30" w:rsidRPr="00E97AF9">
              <w:rPr>
                <w:rFonts w:ascii="Arial" w:eastAsia="Arial" w:hAnsi="Arial" w:cs="Arial"/>
                <w:sz w:val="22"/>
                <w:szCs w:val="22"/>
                <w:lang w:val="en-NZ"/>
              </w:rPr>
              <w:t xml:space="preserve"> insurance, agroforestry, etc.) we use network analysis to develop </w:t>
            </w:r>
            <w:r w:rsidR="002709C6" w:rsidRPr="00E97AF9">
              <w:rPr>
                <w:rFonts w:ascii="Arial" w:eastAsia="Arial" w:hAnsi="Arial" w:cs="Arial"/>
                <w:sz w:val="22"/>
                <w:szCs w:val="22"/>
                <w:lang w:val="en-NZ"/>
              </w:rPr>
              <w:t xml:space="preserve">an </w:t>
            </w:r>
            <w:r w:rsidR="00E31D30" w:rsidRPr="00E97AF9">
              <w:rPr>
                <w:rFonts w:ascii="Arial" w:eastAsia="Arial" w:hAnsi="Arial" w:cs="Arial"/>
                <w:sz w:val="22"/>
                <w:szCs w:val="22"/>
                <w:lang w:val="en-NZ"/>
              </w:rPr>
              <w:t xml:space="preserve">impact pathway that </w:t>
            </w:r>
            <w:r w:rsidR="00E31D30" w:rsidRPr="00E97AF9">
              <w:rPr>
                <w:rFonts w:ascii="Arial" w:eastAsia="Arial" w:hAnsi="Arial" w:cs="Arial"/>
                <w:sz w:val="22"/>
                <w:szCs w:val="22"/>
              </w:rPr>
              <w:t>maps structural</w:t>
            </w:r>
            <w:r w:rsidR="00E31D30" w:rsidRPr="0003087F">
              <w:rPr>
                <w:rFonts w:ascii="Arial" w:eastAsia="Arial" w:hAnsi="Arial" w:cs="Arial"/>
                <w:sz w:val="22"/>
                <w:szCs w:val="22"/>
              </w:rPr>
              <w:t xml:space="preserve"> relationships</w:t>
            </w:r>
            <w:r w:rsidR="00E31D30">
              <w:rPr>
                <w:rFonts w:ascii="Arial" w:eastAsia="Arial" w:hAnsi="Arial" w:cs="Arial"/>
                <w:sz w:val="22"/>
                <w:szCs w:val="22"/>
              </w:rPr>
              <w:t xml:space="preserve"> between </w:t>
            </w:r>
            <w:r w:rsidR="00B27135">
              <w:rPr>
                <w:rFonts w:ascii="Arial" w:eastAsia="Arial" w:hAnsi="Arial" w:cs="Arial"/>
                <w:sz w:val="22"/>
                <w:szCs w:val="22"/>
              </w:rPr>
              <w:t xml:space="preserve">rationales, strategies, effects, and factors. </w:t>
            </w:r>
            <w:r w:rsidR="002709C6">
              <w:rPr>
                <w:rFonts w:ascii="Arial" w:eastAsia="Arial" w:hAnsi="Arial" w:cs="Arial"/>
                <w:sz w:val="22"/>
                <w:szCs w:val="22"/>
              </w:rPr>
              <w:t xml:space="preserve">Using </w:t>
            </w:r>
            <w:r w:rsidR="00535825">
              <w:rPr>
                <w:rFonts w:ascii="Arial" w:eastAsia="Arial" w:hAnsi="Arial" w:cs="Arial"/>
                <w:sz w:val="22"/>
                <w:szCs w:val="22"/>
              </w:rPr>
              <w:t>neural networks</w:t>
            </w:r>
            <w:r w:rsidR="002709C6">
              <w:rPr>
                <w:rFonts w:ascii="Arial" w:eastAsia="Arial" w:hAnsi="Arial" w:cs="Arial"/>
                <w:sz w:val="22"/>
                <w:szCs w:val="22"/>
              </w:rPr>
              <w:t xml:space="preserve"> </w:t>
            </w:r>
            <w:r w:rsidR="00501312">
              <w:rPr>
                <w:rFonts w:ascii="Arial" w:eastAsia="Arial" w:hAnsi="Arial" w:cs="Arial"/>
                <w:sz w:val="22"/>
                <w:szCs w:val="22"/>
              </w:rPr>
              <w:t xml:space="preserve">principles </w:t>
            </w:r>
            <w:r w:rsidR="002709C6">
              <w:rPr>
                <w:rFonts w:ascii="Arial" w:eastAsia="Arial" w:hAnsi="Arial" w:cs="Arial"/>
                <w:sz w:val="22"/>
                <w:szCs w:val="22"/>
              </w:rPr>
              <w:t>and graphical model</w:t>
            </w:r>
            <w:r w:rsidR="00D63D82">
              <w:rPr>
                <w:rFonts w:ascii="Arial" w:eastAsia="Arial" w:hAnsi="Arial" w:cs="Arial"/>
                <w:sz w:val="22"/>
                <w:szCs w:val="22"/>
              </w:rPr>
              <w:t xml:space="preserve"> </w:t>
            </w:r>
            <w:r w:rsidR="00501312">
              <w:rPr>
                <w:rFonts w:ascii="Arial" w:eastAsia="Arial" w:hAnsi="Arial" w:cs="Arial"/>
                <w:sz w:val="22"/>
                <w:szCs w:val="22"/>
              </w:rPr>
              <w:t>techniques</w:t>
            </w:r>
            <w:r w:rsidR="002709C6">
              <w:rPr>
                <w:rFonts w:ascii="Arial" w:eastAsia="Arial" w:hAnsi="Arial" w:cs="Arial"/>
                <w:sz w:val="22"/>
                <w:szCs w:val="22"/>
              </w:rPr>
              <w:t xml:space="preserve">, we </w:t>
            </w:r>
            <w:r w:rsidR="00C156D3">
              <w:rPr>
                <w:rFonts w:ascii="Arial" w:eastAsia="Arial" w:hAnsi="Arial" w:cs="Arial"/>
                <w:sz w:val="22"/>
                <w:szCs w:val="22"/>
              </w:rPr>
              <w:t xml:space="preserve">aggregate patterns </w:t>
            </w:r>
            <w:r w:rsidR="00611298">
              <w:rPr>
                <w:rFonts w:ascii="Arial" w:eastAsia="Arial" w:hAnsi="Arial" w:cs="Arial"/>
                <w:sz w:val="22"/>
                <w:szCs w:val="22"/>
              </w:rPr>
              <w:t xml:space="preserve">across pathways and </w:t>
            </w:r>
            <w:r w:rsidR="00611298" w:rsidRPr="0003087F">
              <w:rPr>
                <w:rFonts w:ascii="Arial" w:eastAsia="Arial" w:hAnsi="Arial" w:cs="Arial"/>
                <w:sz w:val="22"/>
                <w:szCs w:val="22"/>
              </w:rPr>
              <w:t>formalize causal connections</w:t>
            </w:r>
            <w:r w:rsidR="002C15BA">
              <w:rPr>
                <w:rFonts w:ascii="Arial" w:eastAsia="Arial" w:hAnsi="Arial" w:cs="Arial"/>
                <w:sz w:val="22"/>
                <w:szCs w:val="22"/>
              </w:rPr>
              <w:t xml:space="preserve">, nesting them in a </w:t>
            </w:r>
            <w:r w:rsidR="00930828">
              <w:rPr>
                <w:rFonts w:ascii="Arial" w:eastAsia="Arial" w:hAnsi="Arial" w:cs="Arial"/>
                <w:sz w:val="22"/>
                <w:szCs w:val="22"/>
              </w:rPr>
              <w:t>comprehensive</w:t>
            </w:r>
            <w:r w:rsidR="002C15BA">
              <w:rPr>
                <w:rFonts w:ascii="Arial" w:eastAsia="Arial" w:hAnsi="Arial" w:cs="Arial"/>
                <w:sz w:val="22"/>
                <w:szCs w:val="22"/>
              </w:rPr>
              <w:t xml:space="preserve"> meta-</w:t>
            </w:r>
            <w:r w:rsidR="00930828">
              <w:rPr>
                <w:rFonts w:ascii="Arial" w:eastAsia="Arial" w:hAnsi="Arial" w:cs="Arial"/>
                <w:sz w:val="22"/>
                <w:szCs w:val="22"/>
              </w:rPr>
              <w:t>model</w:t>
            </w:r>
            <w:r w:rsidR="002C15BA">
              <w:rPr>
                <w:rFonts w:ascii="Arial" w:eastAsia="Arial" w:hAnsi="Arial" w:cs="Arial"/>
                <w:sz w:val="22"/>
                <w:szCs w:val="22"/>
              </w:rPr>
              <w:t xml:space="preserve">. </w:t>
            </w:r>
            <w:r w:rsidR="00930828" w:rsidRPr="00930828">
              <w:rPr>
                <w:rFonts w:ascii="Arial" w:eastAsia="Arial" w:hAnsi="Arial" w:cs="Arial"/>
                <w:sz w:val="22"/>
                <w:szCs w:val="22"/>
              </w:rPr>
              <w:t xml:space="preserve">This meta-model </w:t>
            </w:r>
            <w:r w:rsidR="00E51DF8">
              <w:rPr>
                <w:rFonts w:ascii="Arial" w:eastAsia="Arial" w:hAnsi="Arial" w:cs="Arial"/>
                <w:sz w:val="22"/>
                <w:szCs w:val="22"/>
              </w:rPr>
              <w:t>joins</w:t>
            </w:r>
            <w:r w:rsidR="00501312">
              <w:rPr>
                <w:rFonts w:ascii="Arial" w:eastAsia="Arial" w:hAnsi="Arial" w:cs="Arial"/>
                <w:sz w:val="22"/>
                <w:szCs w:val="22"/>
              </w:rPr>
              <w:t xml:space="preserve"> and </w:t>
            </w:r>
            <w:r w:rsidR="00930828" w:rsidRPr="00930828">
              <w:rPr>
                <w:rFonts w:ascii="Arial" w:eastAsia="Arial" w:hAnsi="Arial" w:cs="Arial"/>
                <w:sz w:val="22"/>
                <w:szCs w:val="22"/>
              </w:rPr>
              <w:t xml:space="preserve">quantifies agricultural adaptation strategies and their effects, </w:t>
            </w:r>
            <w:r w:rsidR="00E51DF8">
              <w:rPr>
                <w:rFonts w:ascii="Arial" w:eastAsia="Arial" w:hAnsi="Arial" w:cs="Arial"/>
                <w:sz w:val="22"/>
                <w:szCs w:val="22"/>
              </w:rPr>
              <w:t xml:space="preserve">providing </w:t>
            </w:r>
            <w:r w:rsidR="00930828" w:rsidRPr="00930828">
              <w:rPr>
                <w:rFonts w:ascii="Arial" w:eastAsia="Arial" w:hAnsi="Arial" w:cs="Arial"/>
                <w:sz w:val="22"/>
                <w:szCs w:val="22"/>
              </w:rPr>
              <w:t xml:space="preserve">a unified </w:t>
            </w:r>
            <w:r w:rsidR="006A298B">
              <w:rPr>
                <w:rFonts w:ascii="Arial" w:eastAsia="Arial" w:hAnsi="Arial" w:cs="Arial"/>
                <w:sz w:val="22"/>
                <w:szCs w:val="22"/>
              </w:rPr>
              <w:t>“</w:t>
            </w:r>
            <w:r w:rsidR="00E51DF8">
              <w:rPr>
                <w:rFonts w:ascii="Arial" w:eastAsia="Arial" w:hAnsi="Arial" w:cs="Arial"/>
                <w:sz w:val="22"/>
                <w:szCs w:val="22"/>
              </w:rPr>
              <w:t>theory</w:t>
            </w:r>
            <w:r w:rsidR="006A298B">
              <w:rPr>
                <w:rFonts w:ascii="Arial" w:eastAsia="Arial" w:hAnsi="Arial" w:cs="Arial"/>
                <w:sz w:val="22"/>
                <w:szCs w:val="22"/>
              </w:rPr>
              <w:t>”</w:t>
            </w:r>
            <w:r w:rsidR="00E51DF8">
              <w:rPr>
                <w:rFonts w:ascii="Arial" w:eastAsia="Arial" w:hAnsi="Arial" w:cs="Arial"/>
                <w:sz w:val="22"/>
                <w:szCs w:val="22"/>
              </w:rPr>
              <w:fldChar w:fldCharType="begin"/>
            </w:r>
            <w:r w:rsidR="00EA0328">
              <w:rPr>
                <w:rFonts w:ascii="Arial" w:eastAsia="Arial" w:hAnsi="Arial" w:cs="Arial"/>
                <w:sz w:val="22"/>
                <w:szCs w:val="22"/>
              </w:rPr>
              <w:instrText xml:space="preserve"> ADDIN ZOTERO_ITEM CSL_CITATION {"citationID":"g3HU8PBN","properties":{"formattedCitation":"\\super 18\\nosupersub{}","plainCitation":"18","noteIndex":0},"citationItems":[{"id":7378,"uris":["http://zotero.org/users/8082260/items/CZG9952J"],"itemData":{"id":7378,"type":"article-journal","abstract":"The complex nature of sustainability problems and the aim of sustainability science to support emergent processes of transformation require rethinking how we build and make use of theories. We highlight the diversity of ways in which theories, as assemblages of different elements that can serve a variety of purposes, can emerge within inter-disciplinary and trans-disciplinary processes. Such emerging theories are (i) contextualized, constantly changing, and build on a plurality of knowledge from science and practice, (ii) embedded in change-making processes arising when diverse actors try to collectively solve a complex problem. We propose four ideal-typical modes of theorizing, and the notion of ‘ecologies of theories’, to explicate and further advance theorizing to meet the challenges and needs of sustainability science.","container-title":"Current Opinion in Environmental Sustainability","DOI":"10.1016/j.cosust.2022.101154","ISSN":"1877-3435","journalAbbreviation":"Current Opinion in Environmental Sustainability","page":"101154","source":"ScienceDirect","title":"Why care about theories? Innovative ways of theorizing in sustainability science","title-short":"Why care about theories?","URL":"https://www.sciencedirect.com/science/article/pii/S1877343522000069","volume":"54","author":[{"family":"Schlüter","given":"Maja"},{"family":"Caniglia","given":"Guido"},{"family":"Orach","given":"Kirill"},{"family":"Bodin","given":"Örjan"},{"family":"Magliocca","given":"Nicolas"},{"family":"Meyfroidt","given":"Patrick"},{"family":"Reyers","given":"Belinda"}],"accessed":{"date-parts":[["2025",2,28]]},"issued":{"date-parts":[["2022",2,1]]},"citation-key":"Schluter2022"}}],"schema":"https://github.com/citation-style-language/schema/raw/master/csl-citation.json"} </w:instrText>
            </w:r>
            <w:r w:rsidR="00E51DF8">
              <w:rPr>
                <w:rFonts w:ascii="Arial" w:eastAsia="Arial" w:hAnsi="Arial" w:cs="Arial"/>
                <w:sz w:val="22"/>
                <w:szCs w:val="22"/>
              </w:rPr>
              <w:fldChar w:fldCharType="separate"/>
            </w:r>
            <w:r w:rsidR="00EA0328" w:rsidRPr="00EA0328">
              <w:rPr>
                <w:rFonts w:ascii="Arial" w:hAnsi="Arial" w:cs="Arial"/>
                <w:sz w:val="22"/>
                <w:vertAlign w:val="superscript"/>
              </w:rPr>
              <w:t>18</w:t>
            </w:r>
            <w:r w:rsidR="00E51DF8">
              <w:rPr>
                <w:rFonts w:ascii="Arial" w:eastAsia="Arial" w:hAnsi="Arial" w:cs="Arial"/>
                <w:sz w:val="22"/>
                <w:szCs w:val="22"/>
              </w:rPr>
              <w:fldChar w:fldCharType="end"/>
            </w:r>
            <w:r w:rsidR="00E51DF8">
              <w:rPr>
                <w:rFonts w:ascii="Arial" w:eastAsia="Arial" w:hAnsi="Arial" w:cs="Arial"/>
                <w:sz w:val="22"/>
                <w:szCs w:val="22"/>
              </w:rPr>
              <w:t xml:space="preserve"> of adaptation</w:t>
            </w:r>
            <w:r w:rsidR="00930828" w:rsidRPr="00930828">
              <w:rPr>
                <w:rFonts w:ascii="Arial" w:eastAsia="Arial" w:hAnsi="Arial" w:cs="Arial"/>
                <w:sz w:val="22"/>
                <w:szCs w:val="22"/>
              </w:rPr>
              <w:t>.</w:t>
            </w:r>
          </w:p>
          <w:p w14:paraId="4F45E650" w14:textId="77777777" w:rsidR="00885BD6" w:rsidRPr="0003087F" w:rsidRDefault="00885BD6" w:rsidP="008362B9">
            <w:pPr>
              <w:pStyle w:val="ListParagraph"/>
              <w:rPr>
                <w:rFonts w:ascii="Arial" w:eastAsia="Arial" w:hAnsi="Arial" w:cs="Arial"/>
                <w:b/>
                <w:bCs/>
                <w:sz w:val="22"/>
                <w:szCs w:val="22"/>
                <w:lang w:val="en-NZ"/>
              </w:rPr>
            </w:pPr>
          </w:p>
          <w:p w14:paraId="5A295586" w14:textId="0E1A4650" w:rsidR="3A88382A" w:rsidRPr="0003087F" w:rsidRDefault="3A88382A" w:rsidP="008362B9">
            <w:pPr>
              <w:rPr>
                <w:rFonts w:ascii="Arial" w:hAnsi="Arial" w:cs="Arial"/>
                <w:sz w:val="22"/>
                <w:szCs w:val="22"/>
              </w:rPr>
            </w:pPr>
            <w:r w:rsidRPr="0003087F">
              <w:rPr>
                <w:rFonts w:ascii="Arial" w:eastAsia="Arial" w:hAnsi="Arial" w:cs="Arial"/>
                <w:b/>
                <w:bCs/>
                <w:sz w:val="22"/>
                <w:szCs w:val="22"/>
                <w:lang w:val="en-NZ"/>
              </w:rPr>
              <w:t>Findings</w:t>
            </w:r>
          </w:p>
          <w:p w14:paraId="384B6E0A" w14:textId="7B56DDFA" w:rsidR="003C55E3" w:rsidRDefault="002709C6" w:rsidP="008362B9">
            <w:pPr>
              <w:rPr>
                <w:rFonts w:ascii="Arial" w:eastAsia="Arial" w:hAnsi="Arial" w:cs="Arial"/>
                <w:sz w:val="22"/>
                <w:szCs w:val="22"/>
              </w:rPr>
            </w:pPr>
            <w:r>
              <w:rPr>
                <w:rFonts w:ascii="Arial" w:eastAsia="Arial" w:hAnsi="Arial" w:cs="Arial"/>
                <w:sz w:val="22"/>
                <w:szCs w:val="22"/>
              </w:rPr>
              <w:lastRenderedPageBreak/>
              <w:t xml:space="preserve">Preliminary findings </w:t>
            </w:r>
            <w:r w:rsidR="0047534D" w:rsidRPr="0003087F">
              <w:rPr>
                <w:rFonts w:ascii="Arial" w:eastAsia="Arial" w:hAnsi="Arial" w:cs="Arial"/>
                <w:sz w:val="22"/>
                <w:szCs w:val="22"/>
              </w:rPr>
              <w:t xml:space="preserve">highlight </w:t>
            </w:r>
            <w:r w:rsidR="00537051">
              <w:rPr>
                <w:rFonts w:ascii="Arial" w:eastAsia="Arial" w:hAnsi="Arial" w:cs="Arial"/>
                <w:sz w:val="22"/>
                <w:szCs w:val="22"/>
              </w:rPr>
              <w:t>high-level</w:t>
            </w:r>
            <w:r w:rsidR="0047534D" w:rsidRPr="0003087F">
              <w:rPr>
                <w:rFonts w:ascii="Arial" w:eastAsia="Arial" w:hAnsi="Arial" w:cs="Arial"/>
                <w:sz w:val="22"/>
                <w:szCs w:val="22"/>
              </w:rPr>
              <w:t xml:space="preserve"> </w:t>
            </w:r>
            <w:r w:rsidR="00537051">
              <w:rPr>
                <w:rFonts w:ascii="Arial" w:eastAsia="Arial" w:hAnsi="Arial" w:cs="Arial"/>
                <w:sz w:val="22"/>
                <w:szCs w:val="22"/>
              </w:rPr>
              <w:t xml:space="preserve">effects and </w:t>
            </w:r>
            <w:r w:rsidR="0047534D" w:rsidRPr="0003087F">
              <w:rPr>
                <w:rFonts w:ascii="Arial" w:eastAsia="Arial" w:hAnsi="Arial" w:cs="Arial"/>
                <w:sz w:val="22"/>
                <w:szCs w:val="22"/>
              </w:rPr>
              <w:t xml:space="preserve">causal mechanisms. We discuss challenges </w:t>
            </w:r>
            <w:r w:rsidR="0072737E">
              <w:rPr>
                <w:rFonts w:ascii="Arial" w:eastAsia="Arial" w:hAnsi="Arial" w:cs="Arial"/>
                <w:sz w:val="22"/>
                <w:szCs w:val="22"/>
              </w:rPr>
              <w:t xml:space="preserve">with </w:t>
            </w:r>
            <w:r w:rsidR="0047534D" w:rsidRPr="0003087F">
              <w:rPr>
                <w:rFonts w:ascii="Arial" w:eastAsia="Arial" w:hAnsi="Arial" w:cs="Arial"/>
                <w:sz w:val="22"/>
                <w:szCs w:val="22"/>
              </w:rPr>
              <w:t xml:space="preserve">integrating diverse knowledge sources and lessons learned. </w:t>
            </w:r>
            <w:r w:rsidR="0072737E">
              <w:rPr>
                <w:rFonts w:ascii="Arial" w:eastAsia="Arial" w:hAnsi="Arial" w:cs="Arial"/>
                <w:sz w:val="22"/>
                <w:szCs w:val="22"/>
              </w:rPr>
              <w:t xml:space="preserve">We argue that </w:t>
            </w:r>
            <w:r w:rsidR="00E73A4D">
              <w:rPr>
                <w:rFonts w:ascii="Arial" w:eastAsia="Arial" w:hAnsi="Arial" w:cs="Arial"/>
                <w:sz w:val="22"/>
                <w:szCs w:val="22"/>
              </w:rPr>
              <w:t xml:space="preserve">integrating </w:t>
            </w:r>
            <w:r w:rsidR="00193111">
              <w:rPr>
                <w:rFonts w:ascii="Arial" w:eastAsia="Arial" w:hAnsi="Arial" w:cs="Arial"/>
                <w:sz w:val="22"/>
                <w:szCs w:val="22"/>
              </w:rPr>
              <w:t>quantitative data–which</w:t>
            </w:r>
            <w:r w:rsidR="00193111" w:rsidRPr="0003087F">
              <w:rPr>
                <w:rFonts w:ascii="Arial" w:eastAsia="Arial" w:hAnsi="Arial" w:cs="Arial"/>
                <w:sz w:val="22"/>
                <w:szCs w:val="22"/>
              </w:rPr>
              <w:t xml:space="preserve"> provides the evidence</w:t>
            </w:r>
            <w:r w:rsidR="00193111">
              <w:rPr>
                <w:rFonts w:ascii="Arial" w:eastAsia="Arial" w:hAnsi="Arial" w:cs="Arial"/>
                <w:sz w:val="22"/>
                <w:szCs w:val="22"/>
              </w:rPr>
              <w:t xml:space="preserve">– and qualitative data–which offers the context–is </w:t>
            </w:r>
            <w:r w:rsidR="004D1084">
              <w:rPr>
                <w:rFonts w:ascii="Arial" w:eastAsia="Arial" w:hAnsi="Arial" w:cs="Arial"/>
                <w:sz w:val="22"/>
                <w:szCs w:val="22"/>
              </w:rPr>
              <w:t xml:space="preserve">critical </w:t>
            </w:r>
            <w:r w:rsidR="00943DFD">
              <w:rPr>
                <w:rFonts w:ascii="Arial" w:eastAsia="Arial" w:hAnsi="Arial" w:cs="Arial"/>
                <w:sz w:val="22"/>
                <w:szCs w:val="22"/>
              </w:rPr>
              <w:t>for</w:t>
            </w:r>
            <w:r w:rsidR="0075440B">
              <w:rPr>
                <w:rFonts w:ascii="Arial" w:eastAsia="Arial" w:hAnsi="Arial" w:cs="Arial"/>
                <w:sz w:val="22"/>
                <w:szCs w:val="22"/>
              </w:rPr>
              <w:t xml:space="preserve"> a </w:t>
            </w:r>
            <w:r w:rsidR="0075440B" w:rsidRPr="0003087F">
              <w:rPr>
                <w:rFonts w:ascii="Arial" w:eastAsia="Arial" w:hAnsi="Arial" w:cs="Arial"/>
                <w:sz w:val="22"/>
                <w:szCs w:val="22"/>
              </w:rPr>
              <w:t xml:space="preserve">comprehensive picture on adaptation </w:t>
            </w:r>
            <w:r w:rsidR="00B658BC">
              <w:rPr>
                <w:rFonts w:ascii="Arial" w:eastAsia="Arial" w:hAnsi="Arial" w:cs="Arial"/>
                <w:sz w:val="22"/>
                <w:szCs w:val="22"/>
              </w:rPr>
              <w:t>effectiveness</w:t>
            </w:r>
            <w:r w:rsidR="003C55E3">
              <w:rPr>
                <w:rFonts w:ascii="Arial" w:eastAsia="Arial" w:hAnsi="Arial" w:cs="Arial"/>
                <w:sz w:val="22"/>
                <w:szCs w:val="22"/>
              </w:rPr>
              <w:t xml:space="preserve">. </w:t>
            </w:r>
          </w:p>
          <w:p w14:paraId="3F5BAD4A" w14:textId="2F3473DA" w:rsidR="3A88382A" w:rsidRPr="0003087F" w:rsidRDefault="3A88382A" w:rsidP="008362B9">
            <w:pPr>
              <w:rPr>
                <w:rFonts w:ascii="Arial" w:eastAsia="Arial" w:hAnsi="Arial" w:cs="Arial"/>
                <w:b/>
                <w:bCs/>
                <w:sz w:val="22"/>
                <w:szCs w:val="22"/>
                <w:lang w:val="en-NZ"/>
              </w:rPr>
            </w:pPr>
          </w:p>
          <w:p w14:paraId="3BBE1548" w14:textId="6F956362" w:rsidR="3A88382A" w:rsidRPr="0003087F" w:rsidRDefault="3A88382A" w:rsidP="008362B9">
            <w:pPr>
              <w:rPr>
                <w:rFonts w:ascii="Arial" w:hAnsi="Arial" w:cs="Arial"/>
                <w:sz w:val="22"/>
                <w:szCs w:val="22"/>
              </w:rPr>
            </w:pPr>
            <w:r w:rsidRPr="0003087F">
              <w:rPr>
                <w:rFonts w:ascii="Arial" w:eastAsia="Arial" w:hAnsi="Arial" w:cs="Arial"/>
                <w:b/>
                <w:bCs/>
                <w:sz w:val="22"/>
                <w:szCs w:val="22"/>
                <w:lang w:val="en-NZ"/>
              </w:rPr>
              <w:t xml:space="preserve">Significance of the work for policy and practice </w:t>
            </w:r>
          </w:p>
          <w:p w14:paraId="46072E5E" w14:textId="473EBF7B" w:rsidR="001E3F83" w:rsidRDefault="00943DFD" w:rsidP="008362B9">
            <w:pPr>
              <w:rPr>
                <w:rFonts w:ascii="Arial" w:eastAsia="Arial" w:hAnsi="Arial" w:cs="Arial"/>
                <w:sz w:val="22"/>
                <w:szCs w:val="22"/>
              </w:rPr>
            </w:pPr>
            <w:r w:rsidRPr="00943DFD">
              <w:rPr>
                <w:rFonts w:ascii="Arial" w:eastAsia="Arial" w:hAnsi="Arial" w:cs="Arial"/>
                <w:sz w:val="22"/>
                <w:szCs w:val="22"/>
              </w:rPr>
              <w:t xml:space="preserve">The meta-model and nested pathways have </w:t>
            </w:r>
            <w:r w:rsidR="008D585A">
              <w:rPr>
                <w:rFonts w:ascii="Arial" w:eastAsia="Arial" w:hAnsi="Arial" w:cs="Arial"/>
                <w:sz w:val="22"/>
                <w:szCs w:val="22"/>
              </w:rPr>
              <w:t xml:space="preserve">radically </w:t>
            </w:r>
            <w:r w:rsidRPr="00943DFD">
              <w:rPr>
                <w:rFonts w:ascii="Arial" w:eastAsia="Arial" w:hAnsi="Arial" w:cs="Arial"/>
                <w:sz w:val="22"/>
                <w:szCs w:val="22"/>
              </w:rPr>
              <w:t xml:space="preserve">practical implications for project implementers and funders, enabling the design of effective causal chains and enhancing the </w:t>
            </w:r>
            <w:r w:rsidR="008D585A">
              <w:rPr>
                <w:rFonts w:ascii="Arial" w:eastAsia="Arial" w:hAnsi="Arial" w:cs="Arial"/>
                <w:sz w:val="22"/>
                <w:szCs w:val="22"/>
              </w:rPr>
              <w:t>investment t</w:t>
            </w:r>
            <w:r w:rsidRPr="00943DFD">
              <w:rPr>
                <w:rFonts w:ascii="Arial" w:eastAsia="Arial" w:hAnsi="Arial" w:cs="Arial"/>
                <w:sz w:val="22"/>
                <w:szCs w:val="22"/>
              </w:rPr>
              <w:t>argeting</w:t>
            </w:r>
            <w:r w:rsidR="008D585A">
              <w:rPr>
                <w:rFonts w:ascii="Arial" w:eastAsia="Arial" w:hAnsi="Arial" w:cs="Arial"/>
                <w:sz w:val="22"/>
                <w:szCs w:val="22"/>
              </w:rPr>
              <w:t>/implementation</w:t>
            </w:r>
            <w:r w:rsidRPr="00943DFD">
              <w:rPr>
                <w:rFonts w:ascii="Arial" w:eastAsia="Arial" w:hAnsi="Arial" w:cs="Arial"/>
                <w:sz w:val="22"/>
                <w:szCs w:val="22"/>
              </w:rPr>
              <w:t xml:space="preserve">. </w:t>
            </w:r>
            <w:r w:rsidR="002F73EE" w:rsidRPr="00943DFD">
              <w:rPr>
                <w:rFonts w:ascii="Arial" w:eastAsia="Arial" w:hAnsi="Arial" w:cs="Arial"/>
                <w:sz w:val="22"/>
                <w:szCs w:val="22"/>
              </w:rPr>
              <w:t>Empirical</w:t>
            </w:r>
            <w:r w:rsidRPr="00943DFD">
              <w:rPr>
                <w:rFonts w:ascii="Arial" w:eastAsia="Arial" w:hAnsi="Arial" w:cs="Arial"/>
                <w:sz w:val="22"/>
                <w:szCs w:val="22"/>
              </w:rPr>
              <w:t xml:space="preserve"> evidence on effectiveness </w:t>
            </w:r>
            <w:r w:rsidR="002F73EE">
              <w:rPr>
                <w:rFonts w:ascii="Arial" w:eastAsia="Arial" w:hAnsi="Arial" w:cs="Arial"/>
                <w:sz w:val="22"/>
                <w:szCs w:val="22"/>
              </w:rPr>
              <w:t>can</w:t>
            </w:r>
            <w:r w:rsidRPr="00943DFD">
              <w:rPr>
                <w:rFonts w:ascii="Arial" w:eastAsia="Arial" w:hAnsi="Arial" w:cs="Arial"/>
                <w:sz w:val="22"/>
                <w:szCs w:val="22"/>
              </w:rPr>
              <w:t xml:space="preserve"> inform funding criteria, policy design, and monitoring frameworks, ultimately contributing to more effective </w:t>
            </w:r>
            <w:r w:rsidR="002F73EE">
              <w:rPr>
                <w:rFonts w:ascii="Arial" w:eastAsia="Arial" w:hAnsi="Arial" w:cs="Arial"/>
                <w:sz w:val="22"/>
                <w:szCs w:val="22"/>
              </w:rPr>
              <w:t xml:space="preserve">agriculture </w:t>
            </w:r>
            <w:r w:rsidRPr="00943DFD">
              <w:rPr>
                <w:rFonts w:ascii="Arial" w:eastAsia="Arial" w:hAnsi="Arial" w:cs="Arial"/>
                <w:sz w:val="22"/>
                <w:szCs w:val="22"/>
              </w:rPr>
              <w:t xml:space="preserve">adaptation strategies. </w:t>
            </w:r>
            <w:r w:rsidR="001E3F83">
              <w:rPr>
                <w:rFonts w:ascii="Arial" w:eastAsia="Arial" w:hAnsi="Arial" w:cs="Arial"/>
                <w:sz w:val="22"/>
                <w:szCs w:val="22"/>
              </w:rPr>
              <w:t>Ultimately,</w:t>
            </w:r>
            <w:r w:rsidR="00A80276">
              <w:rPr>
                <w:rFonts w:ascii="Arial" w:eastAsia="Arial" w:hAnsi="Arial" w:cs="Arial"/>
                <w:sz w:val="22"/>
                <w:szCs w:val="22"/>
              </w:rPr>
              <w:t xml:space="preserve"> </w:t>
            </w:r>
            <w:r w:rsidR="00A80276" w:rsidRPr="00A80276">
              <w:rPr>
                <w:rFonts w:ascii="Arial" w:eastAsia="Arial" w:hAnsi="Arial" w:cs="Arial"/>
                <w:sz w:val="22"/>
                <w:szCs w:val="22"/>
              </w:rPr>
              <w:t xml:space="preserve">this work </w:t>
            </w:r>
            <w:r w:rsidR="0050682C">
              <w:rPr>
                <w:rFonts w:ascii="Arial" w:eastAsia="Arial" w:hAnsi="Arial" w:cs="Arial"/>
                <w:sz w:val="22"/>
                <w:szCs w:val="22"/>
              </w:rPr>
              <w:t>prove</w:t>
            </w:r>
            <w:r w:rsidR="00AE72BA">
              <w:rPr>
                <w:rFonts w:ascii="Arial" w:eastAsia="Arial" w:hAnsi="Arial" w:cs="Arial"/>
                <w:sz w:val="22"/>
                <w:szCs w:val="22"/>
              </w:rPr>
              <w:t>s</w:t>
            </w:r>
            <w:r w:rsidR="0050682C">
              <w:rPr>
                <w:rFonts w:ascii="Arial" w:eastAsia="Arial" w:hAnsi="Arial" w:cs="Arial"/>
                <w:sz w:val="22"/>
                <w:szCs w:val="22"/>
              </w:rPr>
              <w:t xml:space="preserve"> that “</w:t>
            </w:r>
            <w:r w:rsidR="00A80276" w:rsidRPr="00A80276">
              <w:rPr>
                <w:rFonts w:ascii="Arial" w:eastAsia="Arial" w:hAnsi="Arial" w:cs="Arial"/>
                <w:sz w:val="22"/>
                <w:szCs w:val="22"/>
              </w:rPr>
              <w:t>boxes</w:t>
            </w:r>
            <w:r w:rsidR="0050682C">
              <w:rPr>
                <w:rFonts w:ascii="Arial" w:eastAsia="Arial" w:hAnsi="Arial" w:cs="Arial"/>
                <w:sz w:val="22"/>
                <w:szCs w:val="22"/>
              </w:rPr>
              <w:t>”</w:t>
            </w:r>
            <w:r w:rsidR="00A80276" w:rsidRPr="00A80276">
              <w:rPr>
                <w:rFonts w:ascii="Arial" w:eastAsia="Arial" w:hAnsi="Arial" w:cs="Arial"/>
                <w:sz w:val="22"/>
                <w:szCs w:val="22"/>
              </w:rPr>
              <w:t xml:space="preserve"> and </w:t>
            </w:r>
            <w:r w:rsidR="0050682C">
              <w:rPr>
                <w:rFonts w:ascii="Arial" w:eastAsia="Arial" w:hAnsi="Arial" w:cs="Arial"/>
                <w:sz w:val="22"/>
                <w:szCs w:val="22"/>
              </w:rPr>
              <w:t>“</w:t>
            </w:r>
            <w:r w:rsidR="00A80276" w:rsidRPr="00A80276">
              <w:rPr>
                <w:rFonts w:ascii="Arial" w:eastAsia="Arial" w:hAnsi="Arial" w:cs="Arial"/>
                <w:sz w:val="22"/>
                <w:szCs w:val="22"/>
              </w:rPr>
              <w:t>arrows</w:t>
            </w:r>
            <w:r w:rsidR="0050682C">
              <w:rPr>
                <w:rFonts w:ascii="Arial" w:eastAsia="Arial" w:hAnsi="Arial" w:cs="Arial"/>
                <w:sz w:val="22"/>
                <w:szCs w:val="22"/>
              </w:rPr>
              <w:t xml:space="preserve">” are valuable, as </w:t>
            </w:r>
            <w:r w:rsidR="00AE72BA">
              <w:rPr>
                <w:rFonts w:ascii="Arial" w:eastAsia="Arial" w:hAnsi="Arial" w:cs="Arial"/>
                <w:sz w:val="22"/>
                <w:szCs w:val="22"/>
              </w:rPr>
              <w:t>they help t</w:t>
            </w:r>
            <w:r w:rsidR="00A80276" w:rsidRPr="00A80276">
              <w:rPr>
                <w:rFonts w:ascii="Arial" w:eastAsia="Arial" w:hAnsi="Arial" w:cs="Arial"/>
                <w:sz w:val="22"/>
                <w:szCs w:val="22"/>
              </w:rPr>
              <w:t>ransform abstract causal models into actionable insights for</w:t>
            </w:r>
            <w:r w:rsidR="00A80276">
              <w:rPr>
                <w:rFonts w:ascii="Arial" w:eastAsia="Arial" w:hAnsi="Arial" w:cs="Arial"/>
                <w:sz w:val="22"/>
                <w:szCs w:val="22"/>
              </w:rPr>
              <w:t xml:space="preserve"> </w:t>
            </w:r>
            <w:r w:rsidR="00A80276" w:rsidRPr="00A80276">
              <w:rPr>
                <w:rFonts w:ascii="Arial" w:eastAsia="Arial" w:hAnsi="Arial" w:cs="Arial"/>
                <w:sz w:val="22"/>
                <w:szCs w:val="22"/>
              </w:rPr>
              <w:t>building</w:t>
            </w:r>
            <w:r w:rsidR="00E73A4D">
              <w:rPr>
                <w:rFonts w:ascii="Arial" w:eastAsia="Arial" w:hAnsi="Arial" w:cs="Arial"/>
                <w:sz w:val="22"/>
                <w:szCs w:val="22"/>
              </w:rPr>
              <w:t xml:space="preserve"> climate</w:t>
            </w:r>
            <w:r w:rsidR="00A80276" w:rsidRPr="00A80276">
              <w:rPr>
                <w:rFonts w:ascii="Arial" w:eastAsia="Arial" w:hAnsi="Arial" w:cs="Arial"/>
                <w:sz w:val="22"/>
                <w:szCs w:val="22"/>
              </w:rPr>
              <w:t xml:space="preserve"> resilience.</w:t>
            </w:r>
          </w:p>
          <w:p w14:paraId="0E8A4706" w14:textId="77777777" w:rsidR="001E3F83" w:rsidRDefault="001E3F83" w:rsidP="008362B9">
            <w:pPr>
              <w:rPr>
                <w:rFonts w:ascii="Arial" w:eastAsia="Arial" w:hAnsi="Arial" w:cs="Arial"/>
                <w:sz w:val="22"/>
                <w:szCs w:val="22"/>
              </w:rPr>
            </w:pPr>
          </w:p>
          <w:p w14:paraId="3A29AFD4" w14:textId="6A99E600" w:rsidR="3A88382A" w:rsidRDefault="001E3F83" w:rsidP="008362B9">
            <w:pPr>
              <w:rPr>
                <w:rFonts w:ascii="Arial" w:eastAsia="Arial" w:hAnsi="Arial" w:cs="Arial"/>
                <w:b/>
                <w:bCs/>
                <w:sz w:val="22"/>
                <w:szCs w:val="22"/>
                <w:lang w:val="en-NZ"/>
              </w:rPr>
            </w:pPr>
            <w:r>
              <w:rPr>
                <w:rFonts w:ascii="Arial" w:eastAsia="Arial" w:hAnsi="Arial" w:cs="Arial"/>
                <w:b/>
                <w:bCs/>
                <w:sz w:val="22"/>
                <w:szCs w:val="22"/>
                <w:lang w:val="en-NZ"/>
              </w:rPr>
              <w:t>References</w:t>
            </w:r>
          </w:p>
          <w:p w14:paraId="7169E2F2"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szCs w:val="22"/>
              </w:rPr>
              <w:fldChar w:fldCharType="begin"/>
            </w:r>
            <w:r w:rsidRPr="00EA0328">
              <w:rPr>
                <w:rFonts w:ascii="Arial" w:hAnsi="Arial" w:cs="Arial"/>
                <w:sz w:val="22"/>
                <w:szCs w:val="22"/>
              </w:rPr>
              <w:instrText xml:space="preserve"> ADDIN ZOTERO_BIBL {"uncited":[],"omitted":[],"custom":[]} CSL_BIBLIOGRAPHY </w:instrText>
            </w:r>
            <w:r w:rsidRPr="00EA0328">
              <w:rPr>
                <w:rFonts w:ascii="Arial" w:hAnsi="Arial" w:cs="Arial"/>
                <w:sz w:val="22"/>
                <w:szCs w:val="22"/>
              </w:rPr>
              <w:fldChar w:fldCharType="separate"/>
            </w:r>
            <w:r w:rsidRPr="00EA0328">
              <w:rPr>
                <w:rFonts w:ascii="Arial" w:hAnsi="Arial" w:cs="Arial"/>
                <w:sz w:val="22"/>
              </w:rPr>
              <w:t>1.</w:t>
            </w:r>
            <w:r w:rsidRPr="00EA0328">
              <w:rPr>
                <w:rFonts w:ascii="Arial" w:hAnsi="Arial" w:cs="Arial"/>
                <w:sz w:val="22"/>
              </w:rPr>
              <w:tab/>
              <w:t xml:space="preserve">Berrang-Ford, L. </w:t>
            </w:r>
            <w:r w:rsidRPr="00EA0328">
              <w:rPr>
                <w:rFonts w:ascii="Arial" w:hAnsi="Arial" w:cs="Arial"/>
                <w:i/>
                <w:iCs/>
                <w:sz w:val="22"/>
              </w:rPr>
              <w:t>et al.</w:t>
            </w:r>
            <w:r w:rsidRPr="00EA0328">
              <w:rPr>
                <w:rFonts w:ascii="Arial" w:hAnsi="Arial" w:cs="Arial"/>
                <w:sz w:val="22"/>
              </w:rPr>
              <w:t xml:space="preserve"> A systematic global stocktake of evidence on human adaptation to climate change. </w:t>
            </w:r>
            <w:r w:rsidRPr="00EA0328">
              <w:rPr>
                <w:rFonts w:ascii="Arial" w:hAnsi="Arial" w:cs="Arial"/>
                <w:i/>
                <w:iCs/>
                <w:sz w:val="22"/>
              </w:rPr>
              <w:t>Nature Climate Change</w:t>
            </w:r>
            <w:r w:rsidRPr="00EA0328">
              <w:rPr>
                <w:rFonts w:ascii="Arial" w:hAnsi="Arial" w:cs="Arial"/>
                <w:sz w:val="22"/>
              </w:rPr>
              <w:t xml:space="preserve"> </w:t>
            </w:r>
            <w:r w:rsidRPr="00EA0328">
              <w:rPr>
                <w:rFonts w:ascii="Arial" w:hAnsi="Arial" w:cs="Arial"/>
                <w:b/>
                <w:bCs/>
                <w:sz w:val="22"/>
              </w:rPr>
              <w:t>11</w:t>
            </w:r>
            <w:r w:rsidRPr="00EA0328">
              <w:rPr>
                <w:rFonts w:ascii="Arial" w:hAnsi="Arial" w:cs="Arial"/>
                <w:sz w:val="22"/>
              </w:rPr>
              <w:t>, 989–1000 (2021).</w:t>
            </w:r>
          </w:p>
          <w:p w14:paraId="06344B2A"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2.</w:t>
            </w:r>
            <w:r w:rsidRPr="00EA0328">
              <w:rPr>
                <w:rFonts w:ascii="Arial" w:hAnsi="Arial" w:cs="Arial"/>
                <w:sz w:val="22"/>
              </w:rPr>
              <w:tab/>
              <w:t xml:space="preserve">Lesnikowski, A., Ford, J. D., Berrang-Ford, L., Barrera, M. &amp; Heymann, J. How are we adapting to climate change? A global assessment. </w:t>
            </w:r>
            <w:r w:rsidRPr="00EA0328">
              <w:rPr>
                <w:rFonts w:ascii="Arial" w:hAnsi="Arial" w:cs="Arial"/>
                <w:i/>
                <w:iCs/>
                <w:sz w:val="22"/>
              </w:rPr>
              <w:t>Mitig Adapt Strateg Glob Change</w:t>
            </w:r>
            <w:r w:rsidRPr="00EA0328">
              <w:rPr>
                <w:rFonts w:ascii="Arial" w:hAnsi="Arial" w:cs="Arial"/>
                <w:sz w:val="22"/>
              </w:rPr>
              <w:t xml:space="preserve"> </w:t>
            </w:r>
            <w:r w:rsidRPr="00EA0328">
              <w:rPr>
                <w:rFonts w:ascii="Arial" w:hAnsi="Arial" w:cs="Arial"/>
                <w:b/>
                <w:bCs/>
                <w:sz w:val="22"/>
              </w:rPr>
              <w:t>20</w:t>
            </w:r>
            <w:r w:rsidRPr="00EA0328">
              <w:rPr>
                <w:rFonts w:ascii="Arial" w:hAnsi="Arial" w:cs="Arial"/>
                <w:sz w:val="22"/>
              </w:rPr>
              <w:t>, 277–293 (2015).</w:t>
            </w:r>
          </w:p>
          <w:p w14:paraId="1F343771"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3.</w:t>
            </w:r>
            <w:r w:rsidRPr="00EA0328">
              <w:rPr>
                <w:rFonts w:ascii="Arial" w:hAnsi="Arial" w:cs="Arial"/>
                <w:sz w:val="22"/>
              </w:rPr>
              <w:tab/>
              <w:t xml:space="preserve">Villamayor-Tomas, S. </w:t>
            </w:r>
            <w:r w:rsidRPr="00EA0328">
              <w:rPr>
                <w:rFonts w:ascii="Arial" w:hAnsi="Arial" w:cs="Arial"/>
                <w:i/>
                <w:iCs/>
                <w:sz w:val="22"/>
              </w:rPr>
              <w:t>et al.</w:t>
            </w:r>
            <w:r w:rsidRPr="00EA0328">
              <w:rPr>
                <w:rFonts w:ascii="Arial" w:hAnsi="Arial" w:cs="Arial"/>
                <w:sz w:val="22"/>
              </w:rPr>
              <w:t xml:space="preserve"> Developing countries can adapt to climate change effectively using nature-based solutions. </w:t>
            </w:r>
            <w:r w:rsidRPr="00EA0328">
              <w:rPr>
                <w:rFonts w:ascii="Arial" w:hAnsi="Arial" w:cs="Arial"/>
                <w:i/>
                <w:iCs/>
                <w:sz w:val="22"/>
              </w:rPr>
              <w:t>Commun Earth Environ</w:t>
            </w:r>
            <w:r w:rsidRPr="00EA0328">
              <w:rPr>
                <w:rFonts w:ascii="Arial" w:hAnsi="Arial" w:cs="Arial"/>
                <w:sz w:val="22"/>
              </w:rPr>
              <w:t xml:space="preserve"> </w:t>
            </w:r>
            <w:r w:rsidRPr="00EA0328">
              <w:rPr>
                <w:rFonts w:ascii="Arial" w:hAnsi="Arial" w:cs="Arial"/>
                <w:b/>
                <w:bCs/>
                <w:sz w:val="22"/>
              </w:rPr>
              <w:t>5</w:t>
            </w:r>
            <w:r w:rsidRPr="00EA0328">
              <w:rPr>
                <w:rFonts w:ascii="Arial" w:hAnsi="Arial" w:cs="Arial"/>
                <w:sz w:val="22"/>
              </w:rPr>
              <w:t>, 1–11 (2024).</w:t>
            </w:r>
          </w:p>
          <w:p w14:paraId="313FB1D5"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4.</w:t>
            </w:r>
            <w:r w:rsidRPr="00EA0328">
              <w:rPr>
                <w:rFonts w:ascii="Arial" w:hAnsi="Arial" w:cs="Arial"/>
                <w:sz w:val="22"/>
              </w:rPr>
              <w:tab/>
              <w:t xml:space="preserve">Araos, M. </w:t>
            </w:r>
            <w:r w:rsidRPr="00EA0328">
              <w:rPr>
                <w:rFonts w:ascii="Arial" w:hAnsi="Arial" w:cs="Arial"/>
                <w:i/>
                <w:iCs/>
                <w:sz w:val="22"/>
              </w:rPr>
              <w:t>et al.</w:t>
            </w:r>
            <w:r w:rsidRPr="00EA0328">
              <w:rPr>
                <w:rFonts w:ascii="Arial" w:hAnsi="Arial" w:cs="Arial"/>
                <w:sz w:val="22"/>
              </w:rPr>
              <w:t xml:space="preserve"> Equity in human adaptation-related responses: A systematic global review. </w:t>
            </w:r>
            <w:r w:rsidRPr="00EA0328">
              <w:rPr>
                <w:rFonts w:ascii="Arial" w:hAnsi="Arial" w:cs="Arial"/>
                <w:i/>
                <w:iCs/>
                <w:sz w:val="22"/>
              </w:rPr>
              <w:t>One Earth</w:t>
            </w:r>
            <w:r w:rsidRPr="00EA0328">
              <w:rPr>
                <w:rFonts w:ascii="Arial" w:hAnsi="Arial" w:cs="Arial"/>
                <w:sz w:val="22"/>
              </w:rPr>
              <w:t xml:space="preserve"> </w:t>
            </w:r>
            <w:r w:rsidRPr="00EA0328">
              <w:rPr>
                <w:rFonts w:ascii="Arial" w:hAnsi="Arial" w:cs="Arial"/>
                <w:b/>
                <w:bCs/>
                <w:sz w:val="22"/>
              </w:rPr>
              <w:t>4</w:t>
            </w:r>
            <w:r w:rsidRPr="00EA0328">
              <w:rPr>
                <w:rFonts w:ascii="Arial" w:hAnsi="Arial" w:cs="Arial"/>
                <w:sz w:val="22"/>
              </w:rPr>
              <w:t>, 1454–1467 (2021).</w:t>
            </w:r>
          </w:p>
          <w:p w14:paraId="739612AA"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5.</w:t>
            </w:r>
            <w:r w:rsidRPr="00EA0328">
              <w:rPr>
                <w:rFonts w:ascii="Arial" w:hAnsi="Arial" w:cs="Arial"/>
                <w:sz w:val="22"/>
              </w:rPr>
              <w:tab/>
              <w:t xml:space="preserve">Owen, G. What makes climate change adaptation effective? A systematic review of the literature. </w:t>
            </w:r>
            <w:r w:rsidRPr="00EA0328">
              <w:rPr>
                <w:rFonts w:ascii="Arial" w:hAnsi="Arial" w:cs="Arial"/>
                <w:i/>
                <w:iCs/>
                <w:sz w:val="22"/>
              </w:rPr>
              <w:t>Global Environmental Change</w:t>
            </w:r>
            <w:r w:rsidRPr="00EA0328">
              <w:rPr>
                <w:rFonts w:ascii="Arial" w:hAnsi="Arial" w:cs="Arial"/>
                <w:sz w:val="22"/>
              </w:rPr>
              <w:t xml:space="preserve"> </w:t>
            </w:r>
            <w:r w:rsidRPr="00EA0328">
              <w:rPr>
                <w:rFonts w:ascii="Arial" w:hAnsi="Arial" w:cs="Arial"/>
                <w:b/>
                <w:bCs/>
                <w:sz w:val="22"/>
              </w:rPr>
              <w:t>62</w:t>
            </w:r>
            <w:r w:rsidRPr="00EA0328">
              <w:rPr>
                <w:rFonts w:ascii="Arial" w:hAnsi="Arial" w:cs="Arial"/>
                <w:sz w:val="22"/>
              </w:rPr>
              <w:t>, 102071 (2020).</w:t>
            </w:r>
          </w:p>
          <w:p w14:paraId="5F56FF3D"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6.</w:t>
            </w:r>
            <w:r w:rsidRPr="00EA0328">
              <w:rPr>
                <w:rFonts w:ascii="Arial" w:hAnsi="Arial" w:cs="Arial"/>
                <w:sz w:val="22"/>
              </w:rPr>
              <w:tab/>
              <w:t xml:space="preserve">Brullo, T., Barnett, J., Waters, E. &amp; Boulter, S. The enablers of adaptation: A systematic review. </w:t>
            </w:r>
            <w:r w:rsidRPr="00EA0328">
              <w:rPr>
                <w:rFonts w:ascii="Arial" w:hAnsi="Arial" w:cs="Arial"/>
                <w:i/>
                <w:iCs/>
                <w:sz w:val="22"/>
              </w:rPr>
              <w:t>npj Clim. Action</w:t>
            </w:r>
            <w:r w:rsidRPr="00EA0328">
              <w:rPr>
                <w:rFonts w:ascii="Arial" w:hAnsi="Arial" w:cs="Arial"/>
                <w:sz w:val="22"/>
              </w:rPr>
              <w:t xml:space="preserve"> </w:t>
            </w:r>
            <w:r w:rsidRPr="00EA0328">
              <w:rPr>
                <w:rFonts w:ascii="Arial" w:hAnsi="Arial" w:cs="Arial"/>
                <w:b/>
                <w:bCs/>
                <w:sz w:val="22"/>
              </w:rPr>
              <w:t>3</w:t>
            </w:r>
            <w:r w:rsidRPr="00EA0328">
              <w:rPr>
                <w:rFonts w:ascii="Arial" w:hAnsi="Arial" w:cs="Arial"/>
                <w:sz w:val="22"/>
              </w:rPr>
              <w:t>, 1–8 (2024).</w:t>
            </w:r>
          </w:p>
          <w:p w14:paraId="278AAE30"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7.</w:t>
            </w:r>
            <w:r w:rsidRPr="00EA0328">
              <w:rPr>
                <w:rFonts w:ascii="Arial" w:hAnsi="Arial" w:cs="Arial"/>
                <w:sz w:val="22"/>
              </w:rPr>
              <w:tab/>
              <w:t xml:space="preserve">Rosenstock, T. S. </w:t>
            </w:r>
            <w:r w:rsidRPr="00EA0328">
              <w:rPr>
                <w:rFonts w:ascii="Arial" w:hAnsi="Arial" w:cs="Arial"/>
                <w:i/>
                <w:iCs/>
                <w:sz w:val="22"/>
              </w:rPr>
              <w:t>et al.</w:t>
            </w:r>
            <w:r w:rsidRPr="00EA0328">
              <w:rPr>
                <w:rFonts w:ascii="Arial" w:hAnsi="Arial" w:cs="Arial"/>
                <w:sz w:val="22"/>
              </w:rPr>
              <w:t xml:space="preserve"> Effects of changing farming practices in African agriculture. </w:t>
            </w:r>
            <w:r w:rsidRPr="00EA0328">
              <w:rPr>
                <w:rFonts w:ascii="Arial" w:hAnsi="Arial" w:cs="Arial"/>
                <w:i/>
                <w:iCs/>
                <w:sz w:val="22"/>
              </w:rPr>
              <w:t>Sci Data</w:t>
            </w:r>
            <w:r w:rsidRPr="00EA0328">
              <w:rPr>
                <w:rFonts w:ascii="Arial" w:hAnsi="Arial" w:cs="Arial"/>
                <w:sz w:val="22"/>
              </w:rPr>
              <w:t xml:space="preserve"> </w:t>
            </w:r>
            <w:r w:rsidRPr="00EA0328">
              <w:rPr>
                <w:rFonts w:ascii="Arial" w:hAnsi="Arial" w:cs="Arial"/>
                <w:b/>
                <w:bCs/>
                <w:sz w:val="22"/>
              </w:rPr>
              <w:t>11</w:t>
            </w:r>
            <w:r w:rsidRPr="00EA0328">
              <w:rPr>
                <w:rFonts w:ascii="Arial" w:hAnsi="Arial" w:cs="Arial"/>
                <w:sz w:val="22"/>
              </w:rPr>
              <w:t>, 958 (2024).</w:t>
            </w:r>
          </w:p>
          <w:p w14:paraId="0E4937EA"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8.</w:t>
            </w:r>
            <w:r w:rsidRPr="00EA0328">
              <w:rPr>
                <w:rFonts w:ascii="Arial" w:hAnsi="Arial" w:cs="Arial"/>
                <w:sz w:val="22"/>
              </w:rPr>
              <w:tab/>
              <w:t xml:space="preserve">Doswald, N. </w:t>
            </w:r>
            <w:r w:rsidRPr="00EA0328">
              <w:rPr>
                <w:rFonts w:ascii="Arial" w:hAnsi="Arial" w:cs="Arial"/>
                <w:i/>
                <w:iCs/>
                <w:sz w:val="22"/>
              </w:rPr>
              <w:t>et al.</w:t>
            </w:r>
            <w:r w:rsidRPr="00EA0328">
              <w:rPr>
                <w:rFonts w:ascii="Arial" w:hAnsi="Arial" w:cs="Arial"/>
                <w:sz w:val="22"/>
              </w:rPr>
              <w:t xml:space="preserve"> Effectiveness of ecosystem-based approaches for adaptation: review of the evidence-base. </w:t>
            </w:r>
            <w:r w:rsidRPr="00EA0328">
              <w:rPr>
                <w:rFonts w:ascii="Arial" w:hAnsi="Arial" w:cs="Arial"/>
                <w:i/>
                <w:iCs/>
                <w:sz w:val="22"/>
              </w:rPr>
              <w:t>Climate and Development</w:t>
            </w:r>
            <w:r w:rsidRPr="00EA0328">
              <w:rPr>
                <w:rFonts w:ascii="Arial" w:hAnsi="Arial" w:cs="Arial"/>
                <w:sz w:val="22"/>
              </w:rPr>
              <w:t xml:space="preserve"> </w:t>
            </w:r>
            <w:r w:rsidRPr="00EA0328">
              <w:rPr>
                <w:rFonts w:ascii="Arial" w:hAnsi="Arial" w:cs="Arial"/>
                <w:b/>
                <w:bCs/>
                <w:sz w:val="22"/>
              </w:rPr>
              <w:t>6</w:t>
            </w:r>
            <w:r w:rsidRPr="00EA0328">
              <w:rPr>
                <w:rFonts w:ascii="Arial" w:hAnsi="Arial" w:cs="Arial"/>
                <w:sz w:val="22"/>
              </w:rPr>
              <w:t>, 185–201 (2014).</w:t>
            </w:r>
          </w:p>
          <w:p w14:paraId="29F2C2A2"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9.</w:t>
            </w:r>
            <w:r w:rsidRPr="00EA0328">
              <w:rPr>
                <w:rFonts w:ascii="Arial" w:hAnsi="Arial" w:cs="Arial"/>
                <w:sz w:val="22"/>
              </w:rPr>
              <w:tab/>
              <w:t xml:space="preserve">Pearl, J. </w:t>
            </w:r>
            <w:r w:rsidRPr="00EA0328">
              <w:rPr>
                <w:rFonts w:ascii="Arial" w:hAnsi="Arial" w:cs="Arial"/>
                <w:i/>
                <w:iCs/>
                <w:sz w:val="22"/>
              </w:rPr>
              <w:t>The Book of Why: The New Science of Cause and Effect</w:t>
            </w:r>
            <w:r w:rsidRPr="00EA0328">
              <w:rPr>
                <w:rFonts w:ascii="Arial" w:hAnsi="Arial" w:cs="Arial"/>
                <w:sz w:val="22"/>
              </w:rPr>
              <w:t>. (Basic Books, New York, 2018).</w:t>
            </w:r>
          </w:p>
          <w:p w14:paraId="61218449"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10.</w:t>
            </w:r>
            <w:r w:rsidRPr="00EA0328">
              <w:rPr>
                <w:rFonts w:ascii="Arial" w:hAnsi="Arial" w:cs="Arial"/>
                <w:sz w:val="22"/>
              </w:rPr>
              <w:tab/>
              <w:t xml:space="preserve">Kneale, D., Thomas, J., Bangpan, M., Waddington, H. &amp; Gough, D. </w:t>
            </w:r>
            <w:r w:rsidRPr="00EA0328">
              <w:rPr>
                <w:rFonts w:ascii="Arial" w:hAnsi="Arial" w:cs="Arial"/>
                <w:i/>
                <w:iCs/>
                <w:sz w:val="22"/>
              </w:rPr>
              <w:t>Causal Chain Analysis in Systematic Reviews of International Development Interventions</w:t>
            </w:r>
            <w:r w:rsidRPr="00EA0328">
              <w:rPr>
                <w:rFonts w:ascii="Arial" w:hAnsi="Arial" w:cs="Arial"/>
                <w:sz w:val="22"/>
              </w:rPr>
              <w:t>. https://policycommons.net/artifacts/3784766/cedil-inception-paper-4-casual-chain-analysis/4590528/ (2018) doi:10.51744/CIP4.</w:t>
            </w:r>
          </w:p>
          <w:p w14:paraId="5DDCD0A4"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11.</w:t>
            </w:r>
            <w:r w:rsidRPr="00EA0328">
              <w:rPr>
                <w:rFonts w:ascii="Arial" w:hAnsi="Arial" w:cs="Arial"/>
                <w:sz w:val="22"/>
              </w:rPr>
              <w:tab/>
              <w:t xml:space="preserve">Dinshaw, A., Fisher, S., McGray, H., Rai, N. &amp; Schaar, J. </w:t>
            </w:r>
            <w:r w:rsidRPr="00EA0328">
              <w:rPr>
                <w:rFonts w:ascii="Arial" w:hAnsi="Arial" w:cs="Arial"/>
                <w:i/>
                <w:iCs/>
                <w:sz w:val="22"/>
              </w:rPr>
              <w:t>Monitoring and Evaluation of Climate Change Adaptation: Methodological Approaches</w:t>
            </w:r>
            <w:r w:rsidRPr="00EA0328">
              <w:rPr>
                <w:rFonts w:ascii="Arial" w:hAnsi="Arial" w:cs="Arial"/>
                <w:sz w:val="22"/>
              </w:rPr>
              <w:t>. vol. 74 https://www.oecd-ilibrary.org/environment/monitoring-and-evaluation-of-climate-change-adaptation_5jxrclr0ntjd-en (2014).</w:t>
            </w:r>
          </w:p>
          <w:p w14:paraId="7B3D0189"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12.</w:t>
            </w:r>
            <w:r w:rsidRPr="00EA0328">
              <w:rPr>
                <w:rFonts w:ascii="Arial" w:hAnsi="Arial" w:cs="Arial"/>
                <w:sz w:val="22"/>
              </w:rPr>
              <w:tab/>
              <w:t xml:space="preserve">Fisher, S. Much ado about nothing? Why adaptation measurement matters. </w:t>
            </w:r>
            <w:r w:rsidRPr="00EA0328">
              <w:rPr>
                <w:rFonts w:ascii="Arial" w:hAnsi="Arial" w:cs="Arial"/>
                <w:i/>
                <w:iCs/>
                <w:sz w:val="22"/>
              </w:rPr>
              <w:t>Climate and Development</w:t>
            </w:r>
            <w:r w:rsidRPr="00EA0328">
              <w:rPr>
                <w:rFonts w:ascii="Arial" w:hAnsi="Arial" w:cs="Arial"/>
                <w:sz w:val="22"/>
              </w:rPr>
              <w:t xml:space="preserve"> </w:t>
            </w:r>
            <w:r w:rsidRPr="00EA0328">
              <w:rPr>
                <w:rFonts w:ascii="Arial" w:hAnsi="Arial" w:cs="Arial"/>
                <w:b/>
                <w:bCs/>
                <w:sz w:val="22"/>
              </w:rPr>
              <w:t>16</w:t>
            </w:r>
            <w:r w:rsidRPr="00EA0328">
              <w:rPr>
                <w:rFonts w:ascii="Arial" w:hAnsi="Arial" w:cs="Arial"/>
                <w:sz w:val="22"/>
              </w:rPr>
              <w:t>, 161–167 (2023).</w:t>
            </w:r>
          </w:p>
          <w:p w14:paraId="6E70DC6D"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13.</w:t>
            </w:r>
            <w:r w:rsidRPr="00EA0328">
              <w:rPr>
                <w:rFonts w:ascii="Arial" w:hAnsi="Arial" w:cs="Arial"/>
                <w:sz w:val="22"/>
              </w:rPr>
              <w:tab/>
              <w:t xml:space="preserve">Nowak, A. C. </w:t>
            </w:r>
            <w:r w:rsidRPr="00EA0328">
              <w:rPr>
                <w:rFonts w:ascii="Arial" w:hAnsi="Arial" w:cs="Arial"/>
                <w:i/>
                <w:iCs/>
                <w:sz w:val="22"/>
              </w:rPr>
              <w:t>et al.</w:t>
            </w:r>
            <w:r w:rsidRPr="00EA0328">
              <w:rPr>
                <w:rFonts w:ascii="Arial" w:hAnsi="Arial" w:cs="Arial"/>
                <w:sz w:val="22"/>
              </w:rPr>
              <w:t xml:space="preserve"> Opportunities to strengthen Africa’s efforts to track national-level climate adaptation. </w:t>
            </w:r>
            <w:r w:rsidRPr="00EA0328">
              <w:rPr>
                <w:rFonts w:ascii="Arial" w:hAnsi="Arial" w:cs="Arial"/>
                <w:i/>
                <w:iCs/>
                <w:sz w:val="22"/>
              </w:rPr>
              <w:t>Nat. Clim. Chang.</w:t>
            </w:r>
            <w:r w:rsidRPr="00EA0328">
              <w:rPr>
                <w:rFonts w:ascii="Arial" w:hAnsi="Arial" w:cs="Arial"/>
                <w:sz w:val="22"/>
              </w:rPr>
              <w:t xml:space="preserve"> (2024) doi:10.1038/s41558-024-02054-7.</w:t>
            </w:r>
          </w:p>
          <w:p w14:paraId="7AC544F2"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14.</w:t>
            </w:r>
            <w:r w:rsidRPr="00EA0328">
              <w:rPr>
                <w:rFonts w:ascii="Arial" w:hAnsi="Arial" w:cs="Arial"/>
                <w:sz w:val="22"/>
              </w:rPr>
              <w:tab/>
              <w:t xml:space="preserve">Carr, E. R. &amp; Nalau, J. Adaptation rationales and benefits: A foundation for understanding adaptation impact. </w:t>
            </w:r>
            <w:r w:rsidRPr="00EA0328">
              <w:rPr>
                <w:rFonts w:ascii="Arial" w:hAnsi="Arial" w:cs="Arial"/>
                <w:i/>
                <w:iCs/>
                <w:sz w:val="22"/>
              </w:rPr>
              <w:t>Climate Risk Management</w:t>
            </w:r>
            <w:r w:rsidRPr="00EA0328">
              <w:rPr>
                <w:rFonts w:ascii="Arial" w:hAnsi="Arial" w:cs="Arial"/>
                <w:sz w:val="22"/>
              </w:rPr>
              <w:t xml:space="preserve"> </w:t>
            </w:r>
            <w:r w:rsidRPr="00EA0328">
              <w:rPr>
                <w:rFonts w:ascii="Arial" w:hAnsi="Arial" w:cs="Arial"/>
                <w:b/>
                <w:bCs/>
                <w:sz w:val="22"/>
              </w:rPr>
              <w:t>39</w:t>
            </w:r>
            <w:r w:rsidRPr="00EA0328">
              <w:rPr>
                <w:rFonts w:ascii="Arial" w:hAnsi="Arial" w:cs="Arial"/>
                <w:sz w:val="22"/>
              </w:rPr>
              <w:t>, 100479 (2023).</w:t>
            </w:r>
          </w:p>
          <w:p w14:paraId="7CF2E1C9"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lastRenderedPageBreak/>
              <w:t>15.</w:t>
            </w:r>
            <w:r w:rsidRPr="00EA0328">
              <w:rPr>
                <w:rFonts w:ascii="Arial" w:hAnsi="Arial" w:cs="Arial"/>
                <w:sz w:val="22"/>
              </w:rPr>
              <w:tab/>
              <w:t xml:space="preserve">Muccione, V. </w:t>
            </w:r>
            <w:r w:rsidRPr="00EA0328">
              <w:rPr>
                <w:rFonts w:ascii="Arial" w:hAnsi="Arial" w:cs="Arial"/>
                <w:i/>
                <w:iCs/>
                <w:sz w:val="22"/>
              </w:rPr>
              <w:t>et al.</w:t>
            </w:r>
            <w:r w:rsidRPr="00EA0328">
              <w:rPr>
                <w:rFonts w:ascii="Arial" w:hAnsi="Arial" w:cs="Arial"/>
                <w:sz w:val="22"/>
              </w:rPr>
              <w:t xml:space="preserve"> Adaptation pathways for effective responses to climate change risks. </w:t>
            </w:r>
            <w:r w:rsidRPr="00EA0328">
              <w:rPr>
                <w:rFonts w:ascii="Arial" w:hAnsi="Arial" w:cs="Arial"/>
                <w:i/>
                <w:iCs/>
                <w:sz w:val="22"/>
              </w:rPr>
              <w:t>WIREs Climate Change</w:t>
            </w:r>
            <w:r w:rsidRPr="00EA0328">
              <w:rPr>
                <w:rFonts w:ascii="Arial" w:hAnsi="Arial" w:cs="Arial"/>
                <w:sz w:val="22"/>
              </w:rPr>
              <w:t xml:space="preserve"> </w:t>
            </w:r>
            <w:r w:rsidRPr="00EA0328">
              <w:rPr>
                <w:rFonts w:ascii="Arial" w:hAnsi="Arial" w:cs="Arial"/>
                <w:b/>
                <w:bCs/>
                <w:sz w:val="22"/>
              </w:rPr>
              <w:t>15</w:t>
            </w:r>
            <w:r w:rsidRPr="00EA0328">
              <w:rPr>
                <w:rFonts w:ascii="Arial" w:hAnsi="Arial" w:cs="Arial"/>
                <w:sz w:val="22"/>
              </w:rPr>
              <w:t>, e883 (2024).</w:t>
            </w:r>
          </w:p>
          <w:p w14:paraId="0CCCCF30"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16.</w:t>
            </w:r>
            <w:r w:rsidRPr="00EA0328">
              <w:rPr>
                <w:rFonts w:ascii="Arial" w:hAnsi="Arial" w:cs="Arial"/>
                <w:sz w:val="22"/>
              </w:rPr>
              <w:tab/>
              <w:t xml:space="preserve">Schlüter, M. </w:t>
            </w:r>
            <w:r w:rsidRPr="00EA0328">
              <w:rPr>
                <w:rFonts w:ascii="Arial" w:hAnsi="Arial" w:cs="Arial"/>
                <w:i/>
                <w:iCs/>
                <w:sz w:val="22"/>
              </w:rPr>
              <w:t>et al.</w:t>
            </w:r>
            <w:r w:rsidRPr="00EA0328">
              <w:rPr>
                <w:rFonts w:ascii="Arial" w:hAnsi="Arial" w:cs="Arial"/>
                <w:sz w:val="22"/>
              </w:rPr>
              <w:t xml:space="preserve"> Unraveling complex causal processes that affect sustainability requires more integration between empirical and modeling approaches. </w:t>
            </w:r>
            <w:r w:rsidRPr="00EA0328">
              <w:rPr>
                <w:rFonts w:ascii="Arial" w:hAnsi="Arial" w:cs="Arial"/>
                <w:i/>
                <w:iCs/>
                <w:sz w:val="22"/>
              </w:rPr>
              <w:t>Proceedings of the National Academy of Sciences</w:t>
            </w:r>
            <w:r w:rsidRPr="00EA0328">
              <w:rPr>
                <w:rFonts w:ascii="Arial" w:hAnsi="Arial" w:cs="Arial"/>
                <w:sz w:val="22"/>
              </w:rPr>
              <w:t xml:space="preserve"> </w:t>
            </w:r>
            <w:r w:rsidRPr="00EA0328">
              <w:rPr>
                <w:rFonts w:ascii="Arial" w:hAnsi="Arial" w:cs="Arial"/>
                <w:b/>
                <w:bCs/>
                <w:sz w:val="22"/>
              </w:rPr>
              <w:t>120</w:t>
            </w:r>
            <w:r w:rsidRPr="00EA0328">
              <w:rPr>
                <w:rFonts w:ascii="Arial" w:hAnsi="Arial" w:cs="Arial"/>
                <w:sz w:val="22"/>
              </w:rPr>
              <w:t>, e2215676120 (2023).</w:t>
            </w:r>
          </w:p>
          <w:p w14:paraId="28351EF5"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17.</w:t>
            </w:r>
            <w:r w:rsidRPr="00EA0328">
              <w:rPr>
                <w:rFonts w:ascii="Arial" w:hAnsi="Arial" w:cs="Arial"/>
                <w:sz w:val="22"/>
              </w:rPr>
              <w:tab/>
              <w:t xml:space="preserve">Dee, L. E. </w:t>
            </w:r>
            <w:r w:rsidRPr="00EA0328">
              <w:rPr>
                <w:rFonts w:ascii="Arial" w:hAnsi="Arial" w:cs="Arial"/>
                <w:i/>
                <w:iCs/>
                <w:sz w:val="22"/>
              </w:rPr>
              <w:t>et al.</w:t>
            </w:r>
            <w:r w:rsidRPr="00EA0328">
              <w:rPr>
                <w:rFonts w:ascii="Arial" w:hAnsi="Arial" w:cs="Arial"/>
                <w:sz w:val="22"/>
              </w:rPr>
              <w:t xml:space="preserve"> Clarifying the effect of biodiversity on productivity in natural ecosystems with longitudinal data and methods for causal inference. </w:t>
            </w:r>
            <w:r w:rsidRPr="00EA0328">
              <w:rPr>
                <w:rFonts w:ascii="Arial" w:hAnsi="Arial" w:cs="Arial"/>
                <w:i/>
                <w:iCs/>
                <w:sz w:val="22"/>
              </w:rPr>
              <w:t>Nat Commun</w:t>
            </w:r>
            <w:r w:rsidRPr="00EA0328">
              <w:rPr>
                <w:rFonts w:ascii="Arial" w:hAnsi="Arial" w:cs="Arial"/>
                <w:sz w:val="22"/>
              </w:rPr>
              <w:t xml:space="preserve"> </w:t>
            </w:r>
            <w:r w:rsidRPr="00EA0328">
              <w:rPr>
                <w:rFonts w:ascii="Arial" w:hAnsi="Arial" w:cs="Arial"/>
                <w:b/>
                <w:bCs/>
                <w:sz w:val="22"/>
              </w:rPr>
              <w:t>14</w:t>
            </w:r>
            <w:r w:rsidRPr="00EA0328">
              <w:rPr>
                <w:rFonts w:ascii="Arial" w:hAnsi="Arial" w:cs="Arial"/>
                <w:sz w:val="22"/>
              </w:rPr>
              <w:t>, 2607 (2023).</w:t>
            </w:r>
          </w:p>
          <w:p w14:paraId="18F17187" w14:textId="77777777" w:rsidR="00EA0328" w:rsidRPr="00EA0328" w:rsidRDefault="00EA0328" w:rsidP="00EA0328">
            <w:pPr>
              <w:pStyle w:val="Bibliography"/>
              <w:spacing w:line="240" w:lineRule="auto"/>
              <w:rPr>
                <w:rFonts w:ascii="Arial" w:hAnsi="Arial" w:cs="Arial"/>
                <w:sz w:val="22"/>
              </w:rPr>
            </w:pPr>
            <w:r w:rsidRPr="00EA0328">
              <w:rPr>
                <w:rFonts w:ascii="Arial" w:hAnsi="Arial" w:cs="Arial"/>
                <w:sz w:val="22"/>
              </w:rPr>
              <w:t>18.</w:t>
            </w:r>
            <w:r w:rsidRPr="00EA0328">
              <w:rPr>
                <w:rFonts w:ascii="Arial" w:hAnsi="Arial" w:cs="Arial"/>
                <w:sz w:val="22"/>
              </w:rPr>
              <w:tab/>
              <w:t xml:space="preserve">Schlüter, M. </w:t>
            </w:r>
            <w:r w:rsidRPr="00EA0328">
              <w:rPr>
                <w:rFonts w:ascii="Arial" w:hAnsi="Arial" w:cs="Arial"/>
                <w:i/>
                <w:iCs/>
                <w:sz w:val="22"/>
              </w:rPr>
              <w:t>et al.</w:t>
            </w:r>
            <w:r w:rsidRPr="00EA0328">
              <w:rPr>
                <w:rFonts w:ascii="Arial" w:hAnsi="Arial" w:cs="Arial"/>
                <w:sz w:val="22"/>
              </w:rPr>
              <w:t xml:space="preserve"> Why care about theories? Innovative ways of theorizing in sustainability science. </w:t>
            </w:r>
            <w:r w:rsidRPr="00EA0328">
              <w:rPr>
                <w:rFonts w:ascii="Arial" w:hAnsi="Arial" w:cs="Arial"/>
                <w:i/>
                <w:iCs/>
                <w:sz w:val="22"/>
              </w:rPr>
              <w:t>Current Opinion in Environmental Sustainability</w:t>
            </w:r>
            <w:r w:rsidRPr="00EA0328">
              <w:rPr>
                <w:rFonts w:ascii="Arial" w:hAnsi="Arial" w:cs="Arial"/>
                <w:sz w:val="22"/>
              </w:rPr>
              <w:t xml:space="preserve"> </w:t>
            </w:r>
            <w:r w:rsidRPr="00EA0328">
              <w:rPr>
                <w:rFonts w:ascii="Arial" w:hAnsi="Arial" w:cs="Arial"/>
                <w:b/>
                <w:bCs/>
                <w:sz w:val="22"/>
              </w:rPr>
              <w:t>54</w:t>
            </w:r>
            <w:r w:rsidRPr="00EA0328">
              <w:rPr>
                <w:rFonts w:ascii="Arial" w:hAnsi="Arial" w:cs="Arial"/>
                <w:sz w:val="22"/>
              </w:rPr>
              <w:t>, 101154 (2022).</w:t>
            </w:r>
          </w:p>
          <w:p w14:paraId="796D1EE8" w14:textId="1C2EDD07" w:rsidR="3A88382A" w:rsidRPr="009D504D" w:rsidRDefault="00EA0328" w:rsidP="009D504D">
            <w:pPr>
              <w:rPr>
                <w:rFonts w:ascii="Arial" w:hAnsi="Arial" w:cs="Arial"/>
                <w:sz w:val="22"/>
                <w:szCs w:val="22"/>
              </w:rPr>
            </w:pPr>
            <w:r w:rsidRPr="00EA0328">
              <w:rPr>
                <w:rFonts w:ascii="Arial" w:hAnsi="Arial" w:cs="Arial"/>
                <w:sz w:val="22"/>
                <w:szCs w:val="22"/>
              </w:rPr>
              <w:fldChar w:fldCharType="end"/>
            </w:r>
          </w:p>
        </w:tc>
      </w:tr>
    </w:tbl>
    <w:p w14:paraId="0CC7738A" w14:textId="32A16A39" w:rsidR="001D4146" w:rsidRPr="00537051" w:rsidRDefault="001D4146" w:rsidP="002709C6">
      <w:pPr>
        <w:tabs>
          <w:tab w:val="left" w:pos="8931"/>
        </w:tabs>
        <w:spacing w:after="0"/>
        <w:rPr>
          <w:rFonts w:ascii="Arial" w:eastAsia="Calibri" w:hAnsi="Arial" w:cs="Arial"/>
          <w:sz w:val="22"/>
          <w:szCs w:val="22"/>
          <w:lang w:val="en-CA"/>
        </w:rPr>
      </w:pPr>
    </w:p>
    <w:sectPr w:rsidR="001D4146" w:rsidRPr="005370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F535" w14:textId="77777777" w:rsidR="000666AB" w:rsidRDefault="000666AB" w:rsidP="00263226">
      <w:pPr>
        <w:spacing w:after="0" w:line="240" w:lineRule="auto"/>
      </w:pPr>
      <w:r>
        <w:separator/>
      </w:r>
    </w:p>
  </w:endnote>
  <w:endnote w:type="continuationSeparator" w:id="0">
    <w:p w14:paraId="10A49F48" w14:textId="77777777" w:rsidR="000666AB" w:rsidRDefault="000666AB" w:rsidP="0026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5C3C" w14:textId="77777777" w:rsidR="000666AB" w:rsidRDefault="000666AB" w:rsidP="00263226">
      <w:pPr>
        <w:spacing w:after="0" w:line="240" w:lineRule="auto"/>
      </w:pPr>
      <w:r>
        <w:separator/>
      </w:r>
    </w:p>
  </w:footnote>
  <w:footnote w:type="continuationSeparator" w:id="0">
    <w:p w14:paraId="71B8D54C" w14:textId="77777777" w:rsidR="000666AB" w:rsidRDefault="000666AB" w:rsidP="00263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795F"/>
    <w:multiLevelType w:val="hybridMultilevel"/>
    <w:tmpl w:val="D0CCC520"/>
    <w:lvl w:ilvl="0" w:tplc="F504345E">
      <w:start w:val="1"/>
      <w:numFmt w:val="bullet"/>
      <w:lvlText w:val="-"/>
      <w:lvlJc w:val="left"/>
      <w:pPr>
        <w:ind w:left="720" w:hanging="360"/>
      </w:pPr>
      <w:rPr>
        <w:rFonts w:ascii="Aptos" w:hAnsi="Aptos" w:hint="default"/>
      </w:rPr>
    </w:lvl>
    <w:lvl w:ilvl="1" w:tplc="4314BC30">
      <w:start w:val="1"/>
      <w:numFmt w:val="bullet"/>
      <w:lvlText w:val="o"/>
      <w:lvlJc w:val="left"/>
      <w:pPr>
        <w:ind w:left="1440" w:hanging="360"/>
      </w:pPr>
      <w:rPr>
        <w:rFonts w:ascii="Courier New" w:hAnsi="Courier New" w:hint="default"/>
      </w:rPr>
    </w:lvl>
    <w:lvl w:ilvl="2" w:tplc="0ADE52E8">
      <w:start w:val="1"/>
      <w:numFmt w:val="bullet"/>
      <w:lvlText w:val=""/>
      <w:lvlJc w:val="left"/>
      <w:pPr>
        <w:ind w:left="2160" w:hanging="360"/>
      </w:pPr>
      <w:rPr>
        <w:rFonts w:ascii="Wingdings" w:hAnsi="Wingdings" w:hint="default"/>
      </w:rPr>
    </w:lvl>
    <w:lvl w:ilvl="3" w:tplc="21E486F4">
      <w:start w:val="1"/>
      <w:numFmt w:val="bullet"/>
      <w:lvlText w:val=""/>
      <w:lvlJc w:val="left"/>
      <w:pPr>
        <w:ind w:left="2880" w:hanging="360"/>
      </w:pPr>
      <w:rPr>
        <w:rFonts w:ascii="Symbol" w:hAnsi="Symbol" w:hint="default"/>
      </w:rPr>
    </w:lvl>
    <w:lvl w:ilvl="4" w:tplc="C19C04E2">
      <w:start w:val="1"/>
      <w:numFmt w:val="bullet"/>
      <w:lvlText w:val="o"/>
      <w:lvlJc w:val="left"/>
      <w:pPr>
        <w:ind w:left="3600" w:hanging="360"/>
      </w:pPr>
      <w:rPr>
        <w:rFonts w:ascii="Courier New" w:hAnsi="Courier New" w:hint="default"/>
      </w:rPr>
    </w:lvl>
    <w:lvl w:ilvl="5" w:tplc="991A02F6">
      <w:start w:val="1"/>
      <w:numFmt w:val="bullet"/>
      <w:lvlText w:val=""/>
      <w:lvlJc w:val="left"/>
      <w:pPr>
        <w:ind w:left="4320" w:hanging="360"/>
      </w:pPr>
      <w:rPr>
        <w:rFonts w:ascii="Wingdings" w:hAnsi="Wingdings" w:hint="default"/>
      </w:rPr>
    </w:lvl>
    <w:lvl w:ilvl="6" w:tplc="01B61C90">
      <w:start w:val="1"/>
      <w:numFmt w:val="bullet"/>
      <w:lvlText w:val=""/>
      <w:lvlJc w:val="left"/>
      <w:pPr>
        <w:ind w:left="5040" w:hanging="360"/>
      </w:pPr>
      <w:rPr>
        <w:rFonts w:ascii="Symbol" w:hAnsi="Symbol" w:hint="default"/>
      </w:rPr>
    </w:lvl>
    <w:lvl w:ilvl="7" w:tplc="4288C0C0">
      <w:start w:val="1"/>
      <w:numFmt w:val="bullet"/>
      <w:lvlText w:val="o"/>
      <w:lvlJc w:val="left"/>
      <w:pPr>
        <w:ind w:left="5760" w:hanging="360"/>
      </w:pPr>
      <w:rPr>
        <w:rFonts w:ascii="Courier New" w:hAnsi="Courier New" w:hint="default"/>
      </w:rPr>
    </w:lvl>
    <w:lvl w:ilvl="8" w:tplc="F754DD6E">
      <w:start w:val="1"/>
      <w:numFmt w:val="bullet"/>
      <w:lvlText w:val=""/>
      <w:lvlJc w:val="left"/>
      <w:pPr>
        <w:ind w:left="6480" w:hanging="360"/>
      </w:pPr>
      <w:rPr>
        <w:rFonts w:ascii="Wingdings" w:hAnsi="Wingdings" w:hint="default"/>
      </w:rPr>
    </w:lvl>
  </w:abstractNum>
  <w:abstractNum w:abstractNumId="1" w15:restartNumberingAfterBreak="0">
    <w:nsid w:val="0AF9E618"/>
    <w:multiLevelType w:val="hybridMultilevel"/>
    <w:tmpl w:val="8A6A79DE"/>
    <w:lvl w:ilvl="0" w:tplc="D54EACA2">
      <w:start w:val="1"/>
      <w:numFmt w:val="bullet"/>
      <w:lvlText w:val="-"/>
      <w:lvlJc w:val="left"/>
      <w:pPr>
        <w:ind w:left="720" w:hanging="360"/>
      </w:pPr>
      <w:rPr>
        <w:rFonts w:ascii="Aptos" w:hAnsi="Aptos" w:hint="default"/>
      </w:rPr>
    </w:lvl>
    <w:lvl w:ilvl="1" w:tplc="757A5548">
      <w:start w:val="1"/>
      <w:numFmt w:val="bullet"/>
      <w:lvlText w:val="o"/>
      <w:lvlJc w:val="left"/>
      <w:pPr>
        <w:ind w:left="1440" w:hanging="360"/>
      </w:pPr>
      <w:rPr>
        <w:rFonts w:ascii="Courier New" w:hAnsi="Courier New" w:hint="default"/>
      </w:rPr>
    </w:lvl>
    <w:lvl w:ilvl="2" w:tplc="446078AC">
      <w:start w:val="1"/>
      <w:numFmt w:val="bullet"/>
      <w:lvlText w:val=""/>
      <w:lvlJc w:val="left"/>
      <w:pPr>
        <w:ind w:left="2160" w:hanging="360"/>
      </w:pPr>
      <w:rPr>
        <w:rFonts w:ascii="Wingdings" w:hAnsi="Wingdings" w:hint="default"/>
      </w:rPr>
    </w:lvl>
    <w:lvl w:ilvl="3" w:tplc="DBB8AFD8">
      <w:start w:val="1"/>
      <w:numFmt w:val="bullet"/>
      <w:lvlText w:val=""/>
      <w:lvlJc w:val="left"/>
      <w:pPr>
        <w:ind w:left="2880" w:hanging="360"/>
      </w:pPr>
      <w:rPr>
        <w:rFonts w:ascii="Symbol" w:hAnsi="Symbol" w:hint="default"/>
      </w:rPr>
    </w:lvl>
    <w:lvl w:ilvl="4" w:tplc="837C9B70">
      <w:start w:val="1"/>
      <w:numFmt w:val="bullet"/>
      <w:lvlText w:val="o"/>
      <w:lvlJc w:val="left"/>
      <w:pPr>
        <w:ind w:left="3600" w:hanging="360"/>
      </w:pPr>
      <w:rPr>
        <w:rFonts w:ascii="Courier New" w:hAnsi="Courier New" w:hint="default"/>
      </w:rPr>
    </w:lvl>
    <w:lvl w:ilvl="5" w:tplc="C0064B16">
      <w:start w:val="1"/>
      <w:numFmt w:val="bullet"/>
      <w:lvlText w:val=""/>
      <w:lvlJc w:val="left"/>
      <w:pPr>
        <w:ind w:left="4320" w:hanging="360"/>
      </w:pPr>
      <w:rPr>
        <w:rFonts w:ascii="Wingdings" w:hAnsi="Wingdings" w:hint="default"/>
      </w:rPr>
    </w:lvl>
    <w:lvl w:ilvl="6" w:tplc="0396D6F8">
      <w:start w:val="1"/>
      <w:numFmt w:val="bullet"/>
      <w:lvlText w:val=""/>
      <w:lvlJc w:val="left"/>
      <w:pPr>
        <w:ind w:left="5040" w:hanging="360"/>
      </w:pPr>
      <w:rPr>
        <w:rFonts w:ascii="Symbol" w:hAnsi="Symbol" w:hint="default"/>
      </w:rPr>
    </w:lvl>
    <w:lvl w:ilvl="7" w:tplc="8384F118">
      <w:start w:val="1"/>
      <w:numFmt w:val="bullet"/>
      <w:lvlText w:val="o"/>
      <w:lvlJc w:val="left"/>
      <w:pPr>
        <w:ind w:left="5760" w:hanging="360"/>
      </w:pPr>
      <w:rPr>
        <w:rFonts w:ascii="Courier New" w:hAnsi="Courier New" w:hint="default"/>
      </w:rPr>
    </w:lvl>
    <w:lvl w:ilvl="8" w:tplc="A49EC614">
      <w:start w:val="1"/>
      <w:numFmt w:val="bullet"/>
      <w:lvlText w:val=""/>
      <w:lvlJc w:val="left"/>
      <w:pPr>
        <w:ind w:left="6480" w:hanging="360"/>
      </w:pPr>
      <w:rPr>
        <w:rFonts w:ascii="Wingdings" w:hAnsi="Wingdings" w:hint="default"/>
      </w:rPr>
    </w:lvl>
  </w:abstractNum>
  <w:abstractNum w:abstractNumId="2" w15:restartNumberingAfterBreak="0">
    <w:nsid w:val="1797E483"/>
    <w:multiLevelType w:val="hybridMultilevel"/>
    <w:tmpl w:val="EBD62BA6"/>
    <w:lvl w:ilvl="0" w:tplc="EF4CDF1A">
      <w:start w:val="1"/>
      <w:numFmt w:val="bullet"/>
      <w:lvlText w:val="-"/>
      <w:lvlJc w:val="left"/>
      <w:pPr>
        <w:ind w:left="720" w:hanging="360"/>
      </w:pPr>
      <w:rPr>
        <w:rFonts w:ascii="Aptos" w:hAnsi="Aptos" w:hint="default"/>
      </w:rPr>
    </w:lvl>
    <w:lvl w:ilvl="1" w:tplc="64AEF48E">
      <w:start w:val="1"/>
      <w:numFmt w:val="bullet"/>
      <w:lvlText w:val="o"/>
      <w:lvlJc w:val="left"/>
      <w:pPr>
        <w:ind w:left="1440" w:hanging="360"/>
      </w:pPr>
      <w:rPr>
        <w:rFonts w:ascii="Courier New" w:hAnsi="Courier New" w:hint="default"/>
      </w:rPr>
    </w:lvl>
    <w:lvl w:ilvl="2" w:tplc="8C5C5066">
      <w:start w:val="1"/>
      <w:numFmt w:val="bullet"/>
      <w:lvlText w:val=""/>
      <w:lvlJc w:val="left"/>
      <w:pPr>
        <w:ind w:left="2160" w:hanging="360"/>
      </w:pPr>
      <w:rPr>
        <w:rFonts w:ascii="Wingdings" w:hAnsi="Wingdings" w:hint="default"/>
      </w:rPr>
    </w:lvl>
    <w:lvl w:ilvl="3" w:tplc="AB7AF0B6">
      <w:start w:val="1"/>
      <w:numFmt w:val="bullet"/>
      <w:lvlText w:val=""/>
      <w:lvlJc w:val="left"/>
      <w:pPr>
        <w:ind w:left="2880" w:hanging="360"/>
      </w:pPr>
      <w:rPr>
        <w:rFonts w:ascii="Symbol" w:hAnsi="Symbol" w:hint="default"/>
      </w:rPr>
    </w:lvl>
    <w:lvl w:ilvl="4" w:tplc="295ACE66">
      <w:start w:val="1"/>
      <w:numFmt w:val="bullet"/>
      <w:lvlText w:val="o"/>
      <w:lvlJc w:val="left"/>
      <w:pPr>
        <w:ind w:left="3600" w:hanging="360"/>
      </w:pPr>
      <w:rPr>
        <w:rFonts w:ascii="Courier New" w:hAnsi="Courier New" w:hint="default"/>
      </w:rPr>
    </w:lvl>
    <w:lvl w:ilvl="5" w:tplc="C7A6D8C4">
      <w:start w:val="1"/>
      <w:numFmt w:val="bullet"/>
      <w:lvlText w:val=""/>
      <w:lvlJc w:val="left"/>
      <w:pPr>
        <w:ind w:left="4320" w:hanging="360"/>
      </w:pPr>
      <w:rPr>
        <w:rFonts w:ascii="Wingdings" w:hAnsi="Wingdings" w:hint="default"/>
      </w:rPr>
    </w:lvl>
    <w:lvl w:ilvl="6" w:tplc="8762590C">
      <w:start w:val="1"/>
      <w:numFmt w:val="bullet"/>
      <w:lvlText w:val=""/>
      <w:lvlJc w:val="left"/>
      <w:pPr>
        <w:ind w:left="5040" w:hanging="360"/>
      </w:pPr>
      <w:rPr>
        <w:rFonts w:ascii="Symbol" w:hAnsi="Symbol" w:hint="default"/>
      </w:rPr>
    </w:lvl>
    <w:lvl w:ilvl="7" w:tplc="900EE7C6">
      <w:start w:val="1"/>
      <w:numFmt w:val="bullet"/>
      <w:lvlText w:val="o"/>
      <w:lvlJc w:val="left"/>
      <w:pPr>
        <w:ind w:left="5760" w:hanging="360"/>
      </w:pPr>
      <w:rPr>
        <w:rFonts w:ascii="Courier New" w:hAnsi="Courier New" w:hint="default"/>
      </w:rPr>
    </w:lvl>
    <w:lvl w:ilvl="8" w:tplc="3FB68A38">
      <w:start w:val="1"/>
      <w:numFmt w:val="bullet"/>
      <w:lvlText w:val=""/>
      <w:lvlJc w:val="left"/>
      <w:pPr>
        <w:ind w:left="6480" w:hanging="360"/>
      </w:pPr>
      <w:rPr>
        <w:rFonts w:ascii="Wingdings" w:hAnsi="Wingdings" w:hint="default"/>
      </w:rPr>
    </w:lvl>
  </w:abstractNum>
  <w:abstractNum w:abstractNumId="3" w15:restartNumberingAfterBreak="0">
    <w:nsid w:val="1D23F16E"/>
    <w:multiLevelType w:val="hybridMultilevel"/>
    <w:tmpl w:val="072A28FA"/>
    <w:lvl w:ilvl="0" w:tplc="4BF20794">
      <w:start w:val="1"/>
      <w:numFmt w:val="bullet"/>
      <w:lvlText w:val="-"/>
      <w:lvlJc w:val="left"/>
      <w:pPr>
        <w:ind w:left="720" w:hanging="360"/>
      </w:pPr>
      <w:rPr>
        <w:rFonts w:ascii="Aptos" w:hAnsi="Aptos" w:hint="default"/>
      </w:rPr>
    </w:lvl>
    <w:lvl w:ilvl="1" w:tplc="FF26088A">
      <w:start w:val="1"/>
      <w:numFmt w:val="bullet"/>
      <w:lvlText w:val="o"/>
      <w:lvlJc w:val="left"/>
      <w:pPr>
        <w:ind w:left="1440" w:hanging="360"/>
      </w:pPr>
      <w:rPr>
        <w:rFonts w:ascii="Courier New" w:hAnsi="Courier New" w:hint="default"/>
      </w:rPr>
    </w:lvl>
    <w:lvl w:ilvl="2" w:tplc="EDC8D7CE">
      <w:start w:val="1"/>
      <w:numFmt w:val="bullet"/>
      <w:lvlText w:val=""/>
      <w:lvlJc w:val="left"/>
      <w:pPr>
        <w:ind w:left="2160" w:hanging="360"/>
      </w:pPr>
      <w:rPr>
        <w:rFonts w:ascii="Wingdings" w:hAnsi="Wingdings" w:hint="default"/>
      </w:rPr>
    </w:lvl>
    <w:lvl w:ilvl="3" w:tplc="8BE0BAEC">
      <w:start w:val="1"/>
      <w:numFmt w:val="bullet"/>
      <w:lvlText w:val=""/>
      <w:lvlJc w:val="left"/>
      <w:pPr>
        <w:ind w:left="2880" w:hanging="360"/>
      </w:pPr>
      <w:rPr>
        <w:rFonts w:ascii="Symbol" w:hAnsi="Symbol" w:hint="default"/>
      </w:rPr>
    </w:lvl>
    <w:lvl w:ilvl="4" w:tplc="976EBAE2">
      <w:start w:val="1"/>
      <w:numFmt w:val="bullet"/>
      <w:lvlText w:val="o"/>
      <w:lvlJc w:val="left"/>
      <w:pPr>
        <w:ind w:left="3600" w:hanging="360"/>
      </w:pPr>
      <w:rPr>
        <w:rFonts w:ascii="Courier New" w:hAnsi="Courier New" w:hint="default"/>
      </w:rPr>
    </w:lvl>
    <w:lvl w:ilvl="5" w:tplc="DE982080">
      <w:start w:val="1"/>
      <w:numFmt w:val="bullet"/>
      <w:lvlText w:val=""/>
      <w:lvlJc w:val="left"/>
      <w:pPr>
        <w:ind w:left="4320" w:hanging="360"/>
      </w:pPr>
      <w:rPr>
        <w:rFonts w:ascii="Wingdings" w:hAnsi="Wingdings" w:hint="default"/>
      </w:rPr>
    </w:lvl>
    <w:lvl w:ilvl="6" w:tplc="262EFAD2">
      <w:start w:val="1"/>
      <w:numFmt w:val="bullet"/>
      <w:lvlText w:val=""/>
      <w:lvlJc w:val="left"/>
      <w:pPr>
        <w:ind w:left="5040" w:hanging="360"/>
      </w:pPr>
      <w:rPr>
        <w:rFonts w:ascii="Symbol" w:hAnsi="Symbol" w:hint="default"/>
      </w:rPr>
    </w:lvl>
    <w:lvl w:ilvl="7" w:tplc="EA3ECA88">
      <w:start w:val="1"/>
      <w:numFmt w:val="bullet"/>
      <w:lvlText w:val="o"/>
      <w:lvlJc w:val="left"/>
      <w:pPr>
        <w:ind w:left="5760" w:hanging="360"/>
      </w:pPr>
      <w:rPr>
        <w:rFonts w:ascii="Courier New" w:hAnsi="Courier New" w:hint="default"/>
      </w:rPr>
    </w:lvl>
    <w:lvl w:ilvl="8" w:tplc="7E9A7468">
      <w:start w:val="1"/>
      <w:numFmt w:val="bullet"/>
      <w:lvlText w:val=""/>
      <w:lvlJc w:val="left"/>
      <w:pPr>
        <w:ind w:left="6480" w:hanging="360"/>
      </w:pPr>
      <w:rPr>
        <w:rFonts w:ascii="Wingdings" w:hAnsi="Wingdings" w:hint="default"/>
      </w:rPr>
    </w:lvl>
  </w:abstractNum>
  <w:abstractNum w:abstractNumId="4" w15:restartNumberingAfterBreak="0">
    <w:nsid w:val="2AE48F10"/>
    <w:multiLevelType w:val="hybridMultilevel"/>
    <w:tmpl w:val="A2040B6C"/>
    <w:lvl w:ilvl="0" w:tplc="7E6C9D12">
      <w:start w:val="1"/>
      <w:numFmt w:val="bullet"/>
      <w:lvlText w:val="-"/>
      <w:lvlJc w:val="left"/>
      <w:pPr>
        <w:ind w:left="720" w:hanging="360"/>
      </w:pPr>
      <w:rPr>
        <w:rFonts w:ascii="Aptos" w:hAnsi="Aptos" w:hint="default"/>
      </w:rPr>
    </w:lvl>
    <w:lvl w:ilvl="1" w:tplc="6AEC4376">
      <w:start w:val="1"/>
      <w:numFmt w:val="bullet"/>
      <w:lvlText w:val="o"/>
      <w:lvlJc w:val="left"/>
      <w:pPr>
        <w:ind w:left="1440" w:hanging="360"/>
      </w:pPr>
      <w:rPr>
        <w:rFonts w:ascii="Courier New" w:hAnsi="Courier New" w:hint="default"/>
      </w:rPr>
    </w:lvl>
    <w:lvl w:ilvl="2" w:tplc="6AC6C3B6">
      <w:start w:val="1"/>
      <w:numFmt w:val="bullet"/>
      <w:lvlText w:val=""/>
      <w:lvlJc w:val="left"/>
      <w:pPr>
        <w:ind w:left="2160" w:hanging="360"/>
      </w:pPr>
      <w:rPr>
        <w:rFonts w:ascii="Wingdings" w:hAnsi="Wingdings" w:hint="default"/>
      </w:rPr>
    </w:lvl>
    <w:lvl w:ilvl="3" w:tplc="AB3E1BC0">
      <w:start w:val="1"/>
      <w:numFmt w:val="bullet"/>
      <w:lvlText w:val=""/>
      <w:lvlJc w:val="left"/>
      <w:pPr>
        <w:ind w:left="2880" w:hanging="360"/>
      </w:pPr>
      <w:rPr>
        <w:rFonts w:ascii="Symbol" w:hAnsi="Symbol" w:hint="default"/>
      </w:rPr>
    </w:lvl>
    <w:lvl w:ilvl="4" w:tplc="1062D714">
      <w:start w:val="1"/>
      <w:numFmt w:val="bullet"/>
      <w:lvlText w:val="o"/>
      <w:lvlJc w:val="left"/>
      <w:pPr>
        <w:ind w:left="3600" w:hanging="360"/>
      </w:pPr>
      <w:rPr>
        <w:rFonts w:ascii="Courier New" w:hAnsi="Courier New" w:hint="default"/>
      </w:rPr>
    </w:lvl>
    <w:lvl w:ilvl="5" w:tplc="A6F45E9E">
      <w:start w:val="1"/>
      <w:numFmt w:val="bullet"/>
      <w:lvlText w:val=""/>
      <w:lvlJc w:val="left"/>
      <w:pPr>
        <w:ind w:left="4320" w:hanging="360"/>
      </w:pPr>
      <w:rPr>
        <w:rFonts w:ascii="Wingdings" w:hAnsi="Wingdings" w:hint="default"/>
      </w:rPr>
    </w:lvl>
    <w:lvl w:ilvl="6" w:tplc="5F68A888">
      <w:start w:val="1"/>
      <w:numFmt w:val="bullet"/>
      <w:lvlText w:val=""/>
      <w:lvlJc w:val="left"/>
      <w:pPr>
        <w:ind w:left="5040" w:hanging="360"/>
      </w:pPr>
      <w:rPr>
        <w:rFonts w:ascii="Symbol" w:hAnsi="Symbol" w:hint="default"/>
      </w:rPr>
    </w:lvl>
    <w:lvl w:ilvl="7" w:tplc="D36A0492">
      <w:start w:val="1"/>
      <w:numFmt w:val="bullet"/>
      <w:lvlText w:val="o"/>
      <w:lvlJc w:val="left"/>
      <w:pPr>
        <w:ind w:left="5760" w:hanging="360"/>
      </w:pPr>
      <w:rPr>
        <w:rFonts w:ascii="Courier New" w:hAnsi="Courier New" w:hint="default"/>
      </w:rPr>
    </w:lvl>
    <w:lvl w:ilvl="8" w:tplc="ABA210A8">
      <w:start w:val="1"/>
      <w:numFmt w:val="bullet"/>
      <w:lvlText w:val=""/>
      <w:lvlJc w:val="left"/>
      <w:pPr>
        <w:ind w:left="6480" w:hanging="360"/>
      </w:pPr>
      <w:rPr>
        <w:rFonts w:ascii="Wingdings" w:hAnsi="Wingdings" w:hint="default"/>
      </w:rPr>
    </w:lvl>
  </w:abstractNum>
  <w:abstractNum w:abstractNumId="5" w15:restartNumberingAfterBreak="0">
    <w:nsid w:val="344F788C"/>
    <w:multiLevelType w:val="hybridMultilevel"/>
    <w:tmpl w:val="A686D38C"/>
    <w:lvl w:ilvl="0" w:tplc="20C8F804">
      <w:start w:val="1"/>
      <w:numFmt w:val="bullet"/>
      <w:lvlText w:val="•"/>
      <w:lvlJc w:val="left"/>
      <w:pPr>
        <w:tabs>
          <w:tab w:val="num" w:pos="720"/>
        </w:tabs>
        <w:ind w:left="720" w:hanging="360"/>
      </w:pPr>
      <w:rPr>
        <w:rFonts w:ascii="Arial" w:hAnsi="Arial" w:hint="default"/>
      </w:rPr>
    </w:lvl>
    <w:lvl w:ilvl="1" w:tplc="7234A57E" w:tentative="1">
      <w:start w:val="1"/>
      <w:numFmt w:val="bullet"/>
      <w:lvlText w:val="•"/>
      <w:lvlJc w:val="left"/>
      <w:pPr>
        <w:tabs>
          <w:tab w:val="num" w:pos="1440"/>
        </w:tabs>
        <w:ind w:left="1440" w:hanging="360"/>
      </w:pPr>
      <w:rPr>
        <w:rFonts w:ascii="Arial" w:hAnsi="Arial" w:hint="default"/>
      </w:rPr>
    </w:lvl>
    <w:lvl w:ilvl="2" w:tplc="5072950A" w:tentative="1">
      <w:start w:val="1"/>
      <w:numFmt w:val="bullet"/>
      <w:lvlText w:val="•"/>
      <w:lvlJc w:val="left"/>
      <w:pPr>
        <w:tabs>
          <w:tab w:val="num" w:pos="2160"/>
        </w:tabs>
        <w:ind w:left="2160" w:hanging="360"/>
      </w:pPr>
      <w:rPr>
        <w:rFonts w:ascii="Arial" w:hAnsi="Arial" w:hint="default"/>
      </w:rPr>
    </w:lvl>
    <w:lvl w:ilvl="3" w:tplc="2B2CB6B8" w:tentative="1">
      <w:start w:val="1"/>
      <w:numFmt w:val="bullet"/>
      <w:lvlText w:val="•"/>
      <w:lvlJc w:val="left"/>
      <w:pPr>
        <w:tabs>
          <w:tab w:val="num" w:pos="2880"/>
        </w:tabs>
        <w:ind w:left="2880" w:hanging="360"/>
      </w:pPr>
      <w:rPr>
        <w:rFonts w:ascii="Arial" w:hAnsi="Arial" w:hint="default"/>
      </w:rPr>
    </w:lvl>
    <w:lvl w:ilvl="4" w:tplc="22543B6A" w:tentative="1">
      <w:start w:val="1"/>
      <w:numFmt w:val="bullet"/>
      <w:lvlText w:val="•"/>
      <w:lvlJc w:val="left"/>
      <w:pPr>
        <w:tabs>
          <w:tab w:val="num" w:pos="3600"/>
        </w:tabs>
        <w:ind w:left="3600" w:hanging="360"/>
      </w:pPr>
      <w:rPr>
        <w:rFonts w:ascii="Arial" w:hAnsi="Arial" w:hint="default"/>
      </w:rPr>
    </w:lvl>
    <w:lvl w:ilvl="5" w:tplc="D2C0BE84" w:tentative="1">
      <w:start w:val="1"/>
      <w:numFmt w:val="bullet"/>
      <w:lvlText w:val="•"/>
      <w:lvlJc w:val="left"/>
      <w:pPr>
        <w:tabs>
          <w:tab w:val="num" w:pos="4320"/>
        </w:tabs>
        <w:ind w:left="4320" w:hanging="360"/>
      </w:pPr>
      <w:rPr>
        <w:rFonts w:ascii="Arial" w:hAnsi="Arial" w:hint="default"/>
      </w:rPr>
    </w:lvl>
    <w:lvl w:ilvl="6" w:tplc="5C50CF78" w:tentative="1">
      <w:start w:val="1"/>
      <w:numFmt w:val="bullet"/>
      <w:lvlText w:val="•"/>
      <w:lvlJc w:val="left"/>
      <w:pPr>
        <w:tabs>
          <w:tab w:val="num" w:pos="5040"/>
        </w:tabs>
        <w:ind w:left="5040" w:hanging="360"/>
      </w:pPr>
      <w:rPr>
        <w:rFonts w:ascii="Arial" w:hAnsi="Arial" w:hint="default"/>
      </w:rPr>
    </w:lvl>
    <w:lvl w:ilvl="7" w:tplc="DE0E7F8E" w:tentative="1">
      <w:start w:val="1"/>
      <w:numFmt w:val="bullet"/>
      <w:lvlText w:val="•"/>
      <w:lvlJc w:val="left"/>
      <w:pPr>
        <w:tabs>
          <w:tab w:val="num" w:pos="5760"/>
        </w:tabs>
        <w:ind w:left="5760" w:hanging="360"/>
      </w:pPr>
      <w:rPr>
        <w:rFonts w:ascii="Arial" w:hAnsi="Arial" w:hint="default"/>
      </w:rPr>
    </w:lvl>
    <w:lvl w:ilvl="8" w:tplc="01A6B2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D1B690"/>
    <w:multiLevelType w:val="hybridMultilevel"/>
    <w:tmpl w:val="C4C2DEAE"/>
    <w:lvl w:ilvl="0" w:tplc="3D26270E">
      <w:start w:val="1"/>
      <w:numFmt w:val="bullet"/>
      <w:lvlText w:val="o"/>
      <w:lvlJc w:val="left"/>
      <w:pPr>
        <w:ind w:left="720" w:hanging="360"/>
      </w:pPr>
      <w:rPr>
        <w:rFonts w:ascii="&quot;Courier New&quot;" w:hAnsi="&quot;Courier New&quot;" w:hint="default"/>
      </w:rPr>
    </w:lvl>
    <w:lvl w:ilvl="1" w:tplc="98BCF8AC">
      <w:start w:val="1"/>
      <w:numFmt w:val="bullet"/>
      <w:lvlText w:val="o"/>
      <w:lvlJc w:val="left"/>
      <w:pPr>
        <w:ind w:left="1440" w:hanging="360"/>
      </w:pPr>
      <w:rPr>
        <w:rFonts w:ascii="Courier New" w:hAnsi="Courier New" w:hint="default"/>
      </w:rPr>
    </w:lvl>
    <w:lvl w:ilvl="2" w:tplc="5F6AC92E">
      <w:start w:val="1"/>
      <w:numFmt w:val="bullet"/>
      <w:lvlText w:val=""/>
      <w:lvlJc w:val="left"/>
      <w:pPr>
        <w:ind w:left="2160" w:hanging="360"/>
      </w:pPr>
      <w:rPr>
        <w:rFonts w:ascii="Wingdings" w:hAnsi="Wingdings" w:hint="default"/>
      </w:rPr>
    </w:lvl>
    <w:lvl w:ilvl="3" w:tplc="63485FEC">
      <w:start w:val="1"/>
      <w:numFmt w:val="bullet"/>
      <w:lvlText w:val=""/>
      <w:lvlJc w:val="left"/>
      <w:pPr>
        <w:ind w:left="2880" w:hanging="360"/>
      </w:pPr>
      <w:rPr>
        <w:rFonts w:ascii="Symbol" w:hAnsi="Symbol" w:hint="default"/>
      </w:rPr>
    </w:lvl>
    <w:lvl w:ilvl="4" w:tplc="71F42C42">
      <w:start w:val="1"/>
      <w:numFmt w:val="bullet"/>
      <w:lvlText w:val="o"/>
      <w:lvlJc w:val="left"/>
      <w:pPr>
        <w:ind w:left="3600" w:hanging="360"/>
      </w:pPr>
      <w:rPr>
        <w:rFonts w:ascii="Courier New" w:hAnsi="Courier New" w:hint="default"/>
      </w:rPr>
    </w:lvl>
    <w:lvl w:ilvl="5" w:tplc="4CCC7F70">
      <w:start w:val="1"/>
      <w:numFmt w:val="bullet"/>
      <w:lvlText w:val=""/>
      <w:lvlJc w:val="left"/>
      <w:pPr>
        <w:ind w:left="4320" w:hanging="360"/>
      </w:pPr>
      <w:rPr>
        <w:rFonts w:ascii="Wingdings" w:hAnsi="Wingdings" w:hint="default"/>
      </w:rPr>
    </w:lvl>
    <w:lvl w:ilvl="6" w:tplc="82009E80">
      <w:start w:val="1"/>
      <w:numFmt w:val="bullet"/>
      <w:lvlText w:val=""/>
      <w:lvlJc w:val="left"/>
      <w:pPr>
        <w:ind w:left="5040" w:hanging="360"/>
      </w:pPr>
      <w:rPr>
        <w:rFonts w:ascii="Symbol" w:hAnsi="Symbol" w:hint="default"/>
      </w:rPr>
    </w:lvl>
    <w:lvl w:ilvl="7" w:tplc="08E0D7CE">
      <w:start w:val="1"/>
      <w:numFmt w:val="bullet"/>
      <w:lvlText w:val="o"/>
      <w:lvlJc w:val="left"/>
      <w:pPr>
        <w:ind w:left="5760" w:hanging="360"/>
      </w:pPr>
      <w:rPr>
        <w:rFonts w:ascii="Courier New" w:hAnsi="Courier New" w:hint="default"/>
      </w:rPr>
    </w:lvl>
    <w:lvl w:ilvl="8" w:tplc="9D043DEA">
      <w:start w:val="1"/>
      <w:numFmt w:val="bullet"/>
      <w:lvlText w:val=""/>
      <w:lvlJc w:val="left"/>
      <w:pPr>
        <w:ind w:left="6480" w:hanging="360"/>
      </w:pPr>
      <w:rPr>
        <w:rFonts w:ascii="Wingdings" w:hAnsi="Wingdings" w:hint="default"/>
      </w:rPr>
    </w:lvl>
  </w:abstractNum>
  <w:abstractNum w:abstractNumId="7" w15:restartNumberingAfterBreak="0">
    <w:nsid w:val="50800B8D"/>
    <w:multiLevelType w:val="hybridMultilevel"/>
    <w:tmpl w:val="9C469AEA"/>
    <w:lvl w:ilvl="0" w:tplc="780E5314">
      <w:start w:val="1"/>
      <w:numFmt w:val="bullet"/>
      <w:lvlText w:val="•"/>
      <w:lvlJc w:val="left"/>
      <w:pPr>
        <w:tabs>
          <w:tab w:val="num" w:pos="720"/>
        </w:tabs>
        <w:ind w:left="720" w:hanging="360"/>
      </w:pPr>
      <w:rPr>
        <w:rFonts w:ascii="Arial" w:hAnsi="Arial" w:hint="default"/>
      </w:rPr>
    </w:lvl>
    <w:lvl w:ilvl="1" w:tplc="A6825B5C" w:tentative="1">
      <w:start w:val="1"/>
      <w:numFmt w:val="bullet"/>
      <w:lvlText w:val="•"/>
      <w:lvlJc w:val="left"/>
      <w:pPr>
        <w:tabs>
          <w:tab w:val="num" w:pos="1440"/>
        </w:tabs>
        <w:ind w:left="1440" w:hanging="360"/>
      </w:pPr>
      <w:rPr>
        <w:rFonts w:ascii="Arial" w:hAnsi="Arial" w:hint="default"/>
      </w:rPr>
    </w:lvl>
    <w:lvl w:ilvl="2" w:tplc="45E86300" w:tentative="1">
      <w:start w:val="1"/>
      <w:numFmt w:val="bullet"/>
      <w:lvlText w:val="•"/>
      <w:lvlJc w:val="left"/>
      <w:pPr>
        <w:tabs>
          <w:tab w:val="num" w:pos="2160"/>
        </w:tabs>
        <w:ind w:left="2160" w:hanging="360"/>
      </w:pPr>
      <w:rPr>
        <w:rFonts w:ascii="Arial" w:hAnsi="Arial" w:hint="default"/>
      </w:rPr>
    </w:lvl>
    <w:lvl w:ilvl="3" w:tplc="61BAAA3E" w:tentative="1">
      <w:start w:val="1"/>
      <w:numFmt w:val="bullet"/>
      <w:lvlText w:val="•"/>
      <w:lvlJc w:val="left"/>
      <w:pPr>
        <w:tabs>
          <w:tab w:val="num" w:pos="2880"/>
        </w:tabs>
        <w:ind w:left="2880" w:hanging="360"/>
      </w:pPr>
      <w:rPr>
        <w:rFonts w:ascii="Arial" w:hAnsi="Arial" w:hint="default"/>
      </w:rPr>
    </w:lvl>
    <w:lvl w:ilvl="4" w:tplc="795A03E0" w:tentative="1">
      <w:start w:val="1"/>
      <w:numFmt w:val="bullet"/>
      <w:lvlText w:val="•"/>
      <w:lvlJc w:val="left"/>
      <w:pPr>
        <w:tabs>
          <w:tab w:val="num" w:pos="3600"/>
        </w:tabs>
        <w:ind w:left="3600" w:hanging="360"/>
      </w:pPr>
      <w:rPr>
        <w:rFonts w:ascii="Arial" w:hAnsi="Arial" w:hint="default"/>
      </w:rPr>
    </w:lvl>
    <w:lvl w:ilvl="5" w:tplc="E3CA4BAA" w:tentative="1">
      <w:start w:val="1"/>
      <w:numFmt w:val="bullet"/>
      <w:lvlText w:val="•"/>
      <w:lvlJc w:val="left"/>
      <w:pPr>
        <w:tabs>
          <w:tab w:val="num" w:pos="4320"/>
        </w:tabs>
        <w:ind w:left="4320" w:hanging="360"/>
      </w:pPr>
      <w:rPr>
        <w:rFonts w:ascii="Arial" w:hAnsi="Arial" w:hint="default"/>
      </w:rPr>
    </w:lvl>
    <w:lvl w:ilvl="6" w:tplc="2C9A98AE" w:tentative="1">
      <w:start w:val="1"/>
      <w:numFmt w:val="bullet"/>
      <w:lvlText w:val="•"/>
      <w:lvlJc w:val="left"/>
      <w:pPr>
        <w:tabs>
          <w:tab w:val="num" w:pos="5040"/>
        </w:tabs>
        <w:ind w:left="5040" w:hanging="360"/>
      </w:pPr>
      <w:rPr>
        <w:rFonts w:ascii="Arial" w:hAnsi="Arial" w:hint="default"/>
      </w:rPr>
    </w:lvl>
    <w:lvl w:ilvl="7" w:tplc="F18AC670" w:tentative="1">
      <w:start w:val="1"/>
      <w:numFmt w:val="bullet"/>
      <w:lvlText w:val="•"/>
      <w:lvlJc w:val="left"/>
      <w:pPr>
        <w:tabs>
          <w:tab w:val="num" w:pos="5760"/>
        </w:tabs>
        <w:ind w:left="5760" w:hanging="360"/>
      </w:pPr>
      <w:rPr>
        <w:rFonts w:ascii="Arial" w:hAnsi="Arial" w:hint="default"/>
      </w:rPr>
    </w:lvl>
    <w:lvl w:ilvl="8" w:tplc="74D69022" w:tentative="1">
      <w:start w:val="1"/>
      <w:numFmt w:val="bullet"/>
      <w:lvlText w:val="•"/>
      <w:lvlJc w:val="left"/>
      <w:pPr>
        <w:tabs>
          <w:tab w:val="num" w:pos="6480"/>
        </w:tabs>
        <w:ind w:left="6480" w:hanging="360"/>
      </w:pPr>
      <w:rPr>
        <w:rFonts w:ascii="Arial" w:hAnsi="Arial" w:hint="default"/>
      </w:rPr>
    </w:lvl>
  </w:abstractNum>
  <w:num w:numId="1" w16cid:durableId="316543443">
    <w:abstractNumId w:val="3"/>
  </w:num>
  <w:num w:numId="2" w16cid:durableId="100999565">
    <w:abstractNumId w:val="2"/>
  </w:num>
  <w:num w:numId="3" w16cid:durableId="1565137541">
    <w:abstractNumId w:val="4"/>
  </w:num>
  <w:num w:numId="4" w16cid:durableId="683676372">
    <w:abstractNumId w:val="1"/>
  </w:num>
  <w:num w:numId="5" w16cid:durableId="63991470">
    <w:abstractNumId w:val="0"/>
  </w:num>
  <w:num w:numId="6" w16cid:durableId="1473785797">
    <w:abstractNumId w:val="6"/>
  </w:num>
  <w:num w:numId="7" w16cid:durableId="418871504">
    <w:abstractNumId w:val="5"/>
  </w:num>
  <w:num w:numId="8" w16cid:durableId="1853060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C305C9"/>
    <w:rsid w:val="00004DD7"/>
    <w:rsid w:val="00021313"/>
    <w:rsid w:val="00025F1C"/>
    <w:rsid w:val="0003087F"/>
    <w:rsid w:val="0005117E"/>
    <w:rsid w:val="00052E93"/>
    <w:rsid w:val="000666AB"/>
    <w:rsid w:val="000711B8"/>
    <w:rsid w:val="0008081F"/>
    <w:rsid w:val="000820F1"/>
    <w:rsid w:val="000A45C4"/>
    <w:rsid w:val="000C66CE"/>
    <w:rsid w:val="000F6F2B"/>
    <w:rsid w:val="00106DB2"/>
    <w:rsid w:val="00117A21"/>
    <w:rsid w:val="00134D87"/>
    <w:rsid w:val="001454CC"/>
    <w:rsid w:val="00177C38"/>
    <w:rsid w:val="00180CC6"/>
    <w:rsid w:val="0018272F"/>
    <w:rsid w:val="00182D3F"/>
    <w:rsid w:val="00192935"/>
    <w:rsid w:val="00193111"/>
    <w:rsid w:val="001A2BF3"/>
    <w:rsid w:val="001B1A22"/>
    <w:rsid w:val="001C69C4"/>
    <w:rsid w:val="001D4146"/>
    <w:rsid w:val="001E3F83"/>
    <w:rsid w:val="001E772F"/>
    <w:rsid w:val="002108A4"/>
    <w:rsid w:val="002271EA"/>
    <w:rsid w:val="00230D2B"/>
    <w:rsid w:val="002332AD"/>
    <w:rsid w:val="00245773"/>
    <w:rsid w:val="00250CE4"/>
    <w:rsid w:val="00262474"/>
    <w:rsid w:val="00263226"/>
    <w:rsid w:val="002709C6"/>
    <w:rsid w:val="00285B39"/>
    <w:rsid w:val="002A0C80"/>
    <w:rsid w:val="002A187B"/>
    <w:rsid w:val="002A5D91"/>
    <w:rsid w:val="002A6212"/>
    <w:rsid w:val="002B1320"/>
    <w:rsid w:val="002B2613"/>
    <w:rsid w:val="002B7A66"/>
    <w:rsid w:val="002C0D38"/>
    <w:rsid w:val="002C15BA"/>
    <w:rsid w:val="002E3CAA"/>
    <w:rsid w:val="002F34E0"/>
    <w:rsid w:val="002F73EE"/>
    <w:rsid w:val="00301E15"/>
    <w:rsid w:val="00302042"/>
    <w:rsid w:val="0030283F"/>
    <w:rsid w:val="0030335C"/>
    <w:rsid w:val="0030386A"/>
    <w:rsid w:val="00307EA2"/>
    <w:rsid w:val="00323AF5"/>
    <w:rsid w:val="00346C75"/>
    <w:rsid w:val="00354697"/>
    <w:rsid w:val="00363480"/>
    <w:rsid w:val="00394808"/>
    <w:rsid w:val="003A65DB"/>
    <w:rsid w:val="003B295E"/>
    <w:rsid w:val="003B6EAF"/>
    <w:rsid w:val="003C55E3"/>
    <w:rsid w:val="003D5C72"/>
    <w:rsid w:val="003E4AB3"/>
    <w:rsid w:val="003F0857"/>
    <w:rsid w:val="003F201D"/>
    <w:rsid w:val="004016B8"/>
    <w:rsid w:val="004128E3"/>
    <w:rsid w:val="00425D8D"/>
    <w:rsid w:val="0047534D"/>
    <w:rsid w:val="00492DB9"/>
    <w:rsid w:val="00496171"/>
    <w:rsid w:val="004C599F"/>
    <w:rsid w:val="004C5F42"/>
    <w:rsid w:val="004D1084"/>
    <w:rsid w:val="004F62FA"/>
    <w:rsid w:val="00501312"/>
    <w:rsid w:val="00506759"/>
    <w:rsid w:val="0050682C"/>
    <w:rsid w:val="00521B08"/>
    <w:rsid w:val="0052379C"/>
    <w:rsid w:val="005328D7"/>
    <w:rsid w:val="00535825"/>
    <w:rsid w:val="00536756"/>
    <w:rsid w:val="00537051"/>
    <w:rsid w:val="00547631"/>
    <w:rsid w:val="005610A7"/>
    <w:rsid w:val="00564419"/>
    <w:rsid w:val="00570125"/>
    <w:rsid w:val="00573B5E"/>
    <w:rsid w:val="005A17AC"/>
    <w:rsid w:val="005A69E7"/>
    <w:rsid w:val="005A7E9A"/>
    <w:rsid w:val="005B0CEE"/>
    <w:rsid w:val="005B33EB"/>
    <w:rsid w:val="005C1DFC"/>
    <w:rsid w:val="005C7B9B"/>
    <w:rsid w:val="005E4850"/>
    <w:rsid w:val="005E5D27"/>
    <w:rsid w:val="005E75B1"/>
    <w:rsid w:val="005F186C"/>
    <w:rsid w:val="005F5D8A"/>
    <w:rsid w:val="0060429B"/>
    <w:rsid w:val="00611298"/>
    <w:rsid w:val="006210EE"/>
    <w:rsid w:val="006224DC"/>
    <w:rsid w:val="00646385"/>
    <w:rsid w:val="006A0B7A"/>
    <w:rsid w:val="006A123E"/>
    <w:rsid w:val="006A298B"/>
    <w:rsid w:val="006A40BF"/>
    <w:rsid w:val="006B5389"/>
    <w:rsid w:val="006F09FB"/>
    <w:rsid w:val="00704F5A"/>
    <w:rsid w:val="0072737E"/>
    <w:rsid w:val="00733210"/>
    <w:rsid w:val="007543AB"/>
    <w:rsid w:val="0075440B"/>
    <w:rsid w:val="00762009"/>
    <w:rsid w:val="007671D5"/>
    <w:rsid w:val="00770B03"/>
    <w:rsid w:val="00770EB2"/>
    <w:rsid w:val="00776B27"/>
    <w:rsid w:val="007A5263"/>
    <w:rsid w:val="007B1C4D"/>
    <w:rsid w:val="007B7CCD"/>
    <w:rsid w:val="007C2510"/>
    <w:rsid w:val="007D23D2"/>
    <w:rsid w:val="00806AC4"/>
    <w:rsid w:val="008211EE"/>
    <w:rsid w:val="0082705E"/>
    <w:rsid w:val="008362B9"/>
    <w:rsid w:val="00836D09"/>
    <w:rsid w:val="008470CA"/>
    <w:rsid w:val="0086263D"/>
    <w:rsid w:val="0087476C"/>
    <w:rsid w:val="00880B6A"/>
    <w:rsid w:val="00885BD6"/>
    <w:rsid w:val="00887679"/>
    <w:rsid w:val="0089315F"/>
    <w:rsid w:val="008A144A"/>
    <w:rsid w:val="008B55D1"/>
    <w:rsid w:val="008B592A"/>
    <w:rsid w:val="008C336E"/>
    <w:rsid w:val="008D3324"/>
    <w:rsid w:val="008D37B8"/>
    <w:rsid w:val="008D585A"/>
    <w:rsid w:val="008D79E9"/>
    <w:rsid w:val="008E1F2A"/>
    <w:rsid w:val="008F608E"/>
    <w:rsid w:val="008F6C82"/>
    <w:rsid w:val="00904731"/>
    <w:rsid w:val="009150E6"/>
    <w:rsid w:val="00926AEA"/>
    <w:rsid w:val="00930828"/>
    <w:rsid w:val="009349F8"/>
    <w:rsid w:val="00936F03"/>
    <w:rsid w:val="00943D8B"/>
    <w:rsid w:val="00943DFD"/>
    <w:rsid w:val="00964B74"/>
    <w:rsid w:val="00974456"/>
    <w:rsid w:val="00976647"/>
    <w:rsid w:val="009A036F"/>
    <w:rsid w:val="009A47F2"/>
    <w:rsid w:val="009C4C3E"/>
    <w:rsid w:val="009D4D0D"/>
    <w:rsid w:val="009D504D"/>
    <w:rsid w:val="009D6C7C"/>
    <w:rsid w:val="009E58F5"/>
    <w:rsid w:val="00A12AE5"/>
    <w:rsid w:val="00A16508"/>
    <w:rsid w:val="00A21ADF"/>
    <w:rsid w:val="00A2720C"/>
    <w:rsid w:val="00A3225A"/>
    <w:rsid w:val="00A346C2"/>
    <w:rsid w:val="00A36FCC"/>
    <w:rsid w:val="00A402DC"/>
    <w:rsid w:val="00A45C84"/>
    <w:rsid w:val="00A80276"/>
    <w:rsid w:val="00AD310B"/>
    <w:rsid w:val="00AD3723"/>
    <w:rsid w:val="00AD7A35"/>
    <w:rsid w:val="00AE031F"/>
    <w:rsid w:val="00AE29F6"/>
    <w:rsid w:val="00AE72BA"/>
    <w:rsid w:val="00AF493D"/>
    <w:rsid w:val="00AF72A8"/>
    <w:rsid w:val="00B10FA9"/>
    <w:rsid w:val="00B27135"/>
    <w:rsid w:val="00B37F59"/>
    <w:rsid w:val="00B4789A"/>
    <w:rsid w:val="00B628AB"/>
    <w:rsid w:val="00B658BC"/>
    <w:rsid w:val="00B73167"/>
    <w:rsid w:val="00BA1DB7"/>
    <w:rsid w:val="00BB7261"/>
    <w:rsid w:val="00BC4614"/>
    <w:rsid w:val="00BC64E1"/>
    <w:rsid w:val="00BE0EF9"/>
    <w:rsid w:val="00BF6CD3"/>
    <w:rsid w:val="00BF7417"/>
    <w:rsid w:val="00C156D3"/>
    <w:rsid w:val="00C248E1"/>
    <w:rsid w:val="00C433D6"/>
    <w:rsid w:val="00C44F58"/>
    <w:rsid w:val="00C4713A"/>
    <w:rsid w:val="00C60008"/>
    <w:rsid w:val="00C61079"/>
    <w:rsid w:val="00C64B25"/>
    <w:rsid w:val="00C66852"/>
    <w:rsid w:val="00C72F63"/>
    <w:rsid w:val="00CA2736"/>
    <w:rsid w:val="00CC0CDB"/>
    <w:rsid w:val="00CD7A4A"/>
    <w:rsid w:val="00CE6C97"/>
    <w:rsid w:val="00CF3A31"/>
    <w:rsid w:val="00D10C2A"/>
    <w:rsid w:val="00D34DDF"/>
    <w:rsid w:val="00D40BC7"/>
    <w:rsid w:val="00D4673E"/>
    <w:rsid w:val="00D501CE"/>
    <w:rsid w:val="00D63D82"/>
    <w:rsid w:val="00D84C52"/>
    <w:rsid w:val="00D90E8E"/>
    <w:rsid w:val="00D97F75"/>
    <w:rsid w:val="00DA5A8D"/>
    <w:rsid w:val="00DB420A"/>
    <w:rsid w:val="00DB5B63"/>
    <w:rsid w:val="00DC4A27"/>
    <w:rsid w:val="00DC6869"/>
    <w:rsid w:val="00DD0F71"/>
    <w:rsid w:val="00DD7246"/>
    <w:rsid w:val="00DE3A56"/>
    <w:rsid w:val="00DF4353"/>
    <w:rsid w:val="00E03D2D"/>
    <w:rsid w:val="00E302FF"/>
    <w:rsid w:val="00E31301"/>
    <w:rsid w:val="00E31D30"/>
    <w:rsid w:val="00E416F6"/>
    <w:rsid w:val="00E46A2D"/>
    <w:rsid w:val="00E46EC2"/>
    <w:rsid w:val="00E51DF8"/>
    <w:rsid w:val="00E53252"/>
    <w:rsid w:val="00E53D34"/>
    <w:rsid w:val="00E739A5"/>
    <w:rsid w:val="00E73A4D"/>
    <w:rsid w:val="00E8090C"/>
    <w:rsid w:val="00E95C48"/>
    <w:rsid w:val="00E97AF9"/>
    <w:rsid w:val="00EA0328"/>
    <w:rsid w:val="00EB04F0"/>
    <w:rsid w:val="00EB5DB4"/>
    <w:rsid w:val="00EC2823"/>
    <w:rsid w:val="00ED4E90"/>
    <w:rsid w:val="00EE1CBD"/>
    <w:rsid w:val="00EF2C4A"/>
    <w:rsid w:val="00F07588"/>
    <w:rsid w:val="00F244BB"/>
    <w:rsid w:val="00F32CD6"/>
    <w:rsid w:val="00F43082"/>
    <w:rsid w:val="00F464BD"/>
    <w:rsid w:val="00F66915"/>
    <w:rsid w:val="00F77CF0"/>
    <w:rsid w:val="00FE22C4"/>
    <w:rsid w:val="00FE31B8"/>
    <w:rsid w:val="00FE4236"/>
    <w:rsid w:val="00FE6C71"/>
    <w:rsid w:val="00FE7090"/>
    <w:rsid w:val="09A71FDD"/>
    <w:rsid w:val="0F86C4D7"/>
    <w:rsid w:val="124C5D46"/>
    <w:rsid w:val="139AFE39"/>
    <w:rsid w:val="19D444EC"/>
    <w:rsid w:val="1F91E1D2"/>
    <w:rsid w:val="2B3116E1"/>
    <w:rsid w:val="30B04EAE"/>
    <w:rsid w:val="312883EE"/>
    <w:rsid w:val="32171D63"/>
    <w:rsid w:val="359E6237"/>
    <w:rsid w:val="3A88382A"/>
    <w:rsid w:val="4142DE73"/>
    <w:rsid w:val="4174000C"/>
    <w:rsid w:val="43AF1322"/>
    <w:rsid w:val="4C68AFD2"/>
    <w:rsid w:val="52CC64E9"/>
    <w:rsid w:val="59DDE0A4"/>
    <w:rsid w:val="5C37F039"/>
    <w:rsid w:val="668B5AA1"/>
    <w:rsid w:val="68C305C9"/>
    <w:rsid w:val="6C317321"/>
    <w:rsid w:val="6EA84A9D"/>
    <w:rsid w:val="6EF47E2E"/>
    <w:rsid w:val="7762685D"/>
    <w:rsid w:val="7E55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05C9"/>
  <w15:chartTrackingRefBased/>
  <w15:docId w15:val="{F0B0A411-C860-42EF-A138-529AE0D2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A88382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33210"/>
    <w:rPr>
      <w:sz w:val="16"/>
      <w:szCs w:val="16"/>
    </w:rPr>
  </w:style>
  <w:style w:type="paragraph" w:styleId="CommentText">
    <w:name w:val="annotation text"/>
    <w:basedOn w:val="Normal"/>
    <w:link w:val="CommentTextChar"/>
    <w:uiPriority w:val="99"/>
    <w:unhideWhenUsed/>
    <w:rsid w:val="00733210"/>
    <w:pPr>
      <w:spacing w:line="240" w:lineRule="auto"/>
    </w:pPr>
    <w:rPr>
      <w:rFonts w:asciiTheme="majorHAnsi" w:eastAsiaTheme="minorHAnsi" w:hAnsiTheme="majorHAnsi" w:cs="Arial"/>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33210"/>
    <w:rPr>
      <w:rFonts w:asciiTheme="majorHAnsi" w:eastAsiaTheme="minorHAnsi" w:hAnsiTheme="majorHAnsi" w:cs="Arial"/>
      <w:kern w:val="2"/>
      <w:sz w:val="20"/>
      <w:szCs w:val="20"/>
      <w:lang w:eastAsia="en-US"/>
      <w14:ligatures w14:val="standardContextual"/>
    </w:rPr>
  </w:style>
  <w:style w:type="paragraph" w:styleId="FootnoteText">
    <w:name w:val="footnote text"/>
    <w:basedOn w:val="Normal"/>
    <w:link w:val="FootnoteTextChar"/>
    <w:uiPriority w:val="99"/>
    <w:semiHidden/>
    <w:unhideWhenUsed/>
    <w:rsid w:val="00263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226"/>
    <w:rPr>
      <w:sz w:val="20"/>
      <w:szCs w:val="20"/>
    </w:rPr>
  </w:style>
  <w:style w:type="character" w:styleId="FootnoteReference">
    <w:name w:val="footnote reference"/>
    <w:basedOn w:val="DefaultParagraphFont"/>
    <w:uiPriority w:val="99"/>
    <w:semiHidden/>
    <w:unhideWhenUsed/>
    <w:rsid w:val="00263226"/>
    <w:rPr>
      <w:vertAlign w:val="superscript"/>
    </w:rPr>
  </w:style>
  <w:style w:type="paragraph" w:styleId="Bibliography">
    <w:name w:val="Bibliography"/>
    <w:basedOn w:val="Normal"/>
    <w:next w:val="Normal"/>
    <w:uiPriority w:val="37"/>
    <w:unhideWhenUsed/>
    <w:rsid w:val="00EA0328"/>
    <w:pPr>
      <w:tabs>
        <w:tab w:val="left" w:pos="384"/>
      </w:tabs>
      <w:spacing w:after="0"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6384">
      <w:bodyDiv w:val="1"/>
      <w:marLeft w:val="0"/>
      <w:marRight w:val="0"/>
      <w:marTop w:val="0"/>
      <w:marBottom w:val="0"/>
      <w:divBdr>
        <w:top w:val="none" w:sz="0" w:space="0" w:color="auto"/>
        <w:left w:val="none" w:sz="0" w:space="0" w:color="auto"/>
        <w:bottom w:val="none" w:sz="0" w:space="0" w:color="auto"/>
        <w:right w:val="none" w:sz="0" w:space="0" w:color="auto"/>
      </w:divBdr>
      <w:divsChild>
        <w:div w:id="1943537197">
          <w:marLeft w:val="446"/>
          <w:marRight w:val="0"/>
          <w:marTop w:val="0"/>
          <w:marBottom w:val="0"/>
          <w:divBdr>
            <w:top w:val="none" w:sz="0" w:space="0" w:color="auto"/>
            <w:left w:val="none" w:sz="0" w:space="0" w:color="auto"/>
            <w:bottom w:val="none" w:sz="0" w:space="0" w:color="auto"/>
            <w:right w:val="none" w:sz="0" w:space="0" w:color="auto"/>
          </w:divBdr>
        </w:div>
      </w:divsChild>
    </w:div>
    <w:div w:id="1857037330">
      <w:bodyDiv w:val="1"/>
      <w:marLeft w:val="0"/>
      <w:marRight w:val="0"/>
      <w:marTop w:val="0"/>
      <w:marBottom w:val="0"/>
      <w:divBdr>
        <w:top w:val="none" w:sz="0" w:space="0" w:color="auto"/>
        <w:left w:val="none" w:sz="0" w:space="0" w:color="auto"/>
        <w:bottom w:val="none" w:sz="0" w:space="0" w:color="auto"/>
        <w:right w:val="none" w:sz="0" w:space="0" w:color="auto"/>
      </w:divBdr>
      <w:divsChild>
        <w:div w:id="196388036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D7BA4-F1F7-41A7-9BEA-E650AA6EFBD1}">
  <ds:schemaRefs>
    <ds:schemaRef ds:uri="http://schemas.microsoft.com/office/2006/documentManagement/types"/>
    <ds:schemaRef ds:uri="6911e96c-4cc4-42d5-8e43-f93924cf6a05"/>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 ds:uri="9c8a2b7b-0bee-4c48-b0a6-23db8982d3bc"/>
    <ds:schemaRef ds:uri="cab52c9b-ab33-4221-8af9-54f8f2b86a8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2DDEAA0-B815-4BFC-BE7A-5518C5C91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BEBBE-5400-45C3-B269-DA01A76C82BD}">
  <ds:schemaRefs>
    <ds:schemaRef ds:uri="http://schemas.openxmlformats.org/officeDocument/2006/bibliography"/>
  </ds:schemaRefs>
</ds:datastoreItem>
</file>

<file path=customXml/itemProps4.xml><?xml version="1.0" encoding="utf-8"?>
<ds:datastoreItem xmlns:ds="http://schemas.openxmlformats.org/officeDocument/2006/customXml" ds:itemID="{EADB29CE-F885-471B-B039-50692869A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7764</Words>
  <Characters>44256</Characters>
  <Application>Microsoft Office Word</Application>
  <DocSecurity>0</DocSecurity>
  <Lines>368</Lines>
  <Paragraphs>103</Paragraphs>
  <ScaleCrop>false</ScaleCrop>
  <Company/>
  <LinksUpToDate>false</LinksUpToDate>
  <CharactersWithSpaces>51917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Andreea (Alliance Bioversity-CIAT)</dc:creator>
  <cp:keywords/>
  <dc:description/>
  <cp:lastModifiedBy>Bethany Yee</cp:lastModifiedBy>
  <cp:revision>4</cp:revision>
  <dcterms:created xsi:type="dcterms:W3CDTF">2025-03-06T22:07:00Z</dcterms:created>
  <dcterms:modified xsi:type="dcterms:W3CDTF">2025-08-12T21:28:00Z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zotero-version="7.0.13"&gt;&lt;session id="YE4z8xLm"/&gt;&lt;style id="http://www.zotero.org/styles/nature" hasBibliography="1" bibliographyStyleHasBeenSet="1"/&gt;&lt;prefs&gt;&lt;pref name="fieldType" value="Field"/&gt;&lt;/prefs&gt;&lt;/data&gt;</vt:lpwstr>
  </property>
</Properties>
</file>