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F687" w14:textId="07BB0A50" w:rsidR="000B655F" w:rsidRPr="00791D9E" w:rsidRDefault="007E19EC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ascii="Arial" w:hAnsi="Arial" w:cs="Arial"/>
          <w:b/>
          <w:sz w:val="22"/>
          <w:szCs w:val="22"/>
          <w:lang w:val="en-GB"/>
        </w:rPr>
        <w:t>12</w:t>
      </w:r>
      <w:r w:rsidR="00A211E1" w:rsidRPr="00791D9E">
        <w:rPr>
          <w:rStyle w:val="normaltextrun"/>
          <w:rFonts w:ascii="Arial" w:hAnsi="Arial" w:cs="Arial"/>
          <w:b/>
          <w:sz w:val="22"/>
          <w:szCs w:val="22"/>
          <w:lang w:val="en-GB"/>
        </w:rPr>
        <w:t xml:space="preserve">-month </w:t>
      </w:r>
      <w:r w:rsidR="000B655F" w:rsidRPr="00791D9E">
        <w:rPr>
          <w:rStyle w:val="normaltextrun"/>
          <w:rFonts w:ascii="Arial" w:hAnsi="Arial" w:cs="Arial"/>
          <w:b/>
          <w:sz w:val="22"/>
          <w:szCs w:val="22"/>
          <w:lang w:val="en-GB"/>
        </w:rPr>
        <w:t>medication concordance in patients seen in usual care heart failure clinic</w:t>
      </w:r>
      <w:r w:rsidR="000B655F" w:rsidRPr="00791D9E">
        <w:rPr>
          <w:rStyle w:val="eop"/>
          <w:rFonts w:ascii="Arial" w:hAnsi="Arial" w:cs="Arial"/>
          <w:b/>
          <w:sz w:val="22"/>
          <w:szCs w:val="22"/>
        </w:rPr>
        <w:t> </w:t>
      </w:r>
    </w:p>
    <w:p w14:paraId="1EE1865E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CEC7826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Background: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6CA25E5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>Heart failure (HF) causes significant morbidity and mortality and disproportionately affects Māori and pacific peoples. Nurse-led heart function clinics play a crucial role in timely optimisation of guideline directed medical therapy (GDMT) and management of heart failure.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41C7EBC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436C325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Methods: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3E93BE9" w14:textId="09D2134D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>We audited 50 patients reviewed in nurse-led heart function clinics over three months who did not meet criteria for rapid up-titration clinics. Data collected via RCP included demographics, aetiology, comorbidities, time to care, and left ventricular ejection fraction (LVEF) at baseline, post-titration. Medication concordance was assessed usi</w:t>
      </w:r>
      <w:r w:rsidR="00791D9E">
        <w:rPr>
          <w:rStyle w:val="normaltextrun"/>
          <w:rFonts w:ascii="Arial" w:hAnsi="Arial" w:cs="Arial"/>
          <w:sz w:val="22"/>
          <w:szCs w:val="22"/>
          <w:lang w:val="en-GB"/>
        </w:rPr>
        <w:t>ng prescriptions dispensed at 12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months on Eclair.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5AC087A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3CDF7F3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Results: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FAE17FF" w14:textId="7BEDFA81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>Median age was 65 years (IQR 55.25–72); 34% were female, 12% Māori, and 20% Pacific peoples. Ischaemic heart disease was present in 44%, type 2 diabetes in 36%, hypertension in 50%, and chronic kidney disease in 42%. Median baseline LVEF was 27.5% (IQR 22.5–32.5). Median time from referral to first appointment was 22 days. Titration occurred over a mean of five visits within 77 days. Post-titration median LVEF improved to 37.5% (IQR 30.6–48.8). </w:t>
      </w:r>
      <w:r w:rsidR="008E3EA4">
        <w:rPr>
          <w:rStyle w:val="normaltextrun"/>
          <w:rFonts w:ascii="Arial" w:hAnsi="Arial" w:cs="Arial"/>
          <w:sz w:val="22"/>
          <w:szCs w:val="22"/>
          <w:lang w:val="en-GB"/>
        </w:rPr>
        <w:t>At 12 months, 86</w:t>
      </w:r>
      <w:r w:rsidR="007D1B4A">
        <w:rPr>
          <w:rStyle w:val="normaltextrun"/>
          <w:rFonts w:ascii="Arial" w:hAnsi="Arial" w:cs="Arial"/>
          <w:sz w:val="22"/>
          <w:szCs w:val="22"/>
          <w:lang w:val="en-GB"/>
        </w:rPr>
        <w:t>% remained on a beta blocker, 62</w:t>
      </w:r>
      <w:r w:rsidR="008E3EA4">
        <w:rPr>
          <w:rStyle w:val="normaltextrun"/>
          <w:rFonts w:ascii="Arial" w:hAnsi="Arial" w:cs="Arial"/>
          <w:sz w:val="22"/>
          <w:szCs w:val="22"/>
          <w:lang w:val="en-GB"/>
        </w:rPr>
        <w:t>% on ARNI</w:t>
      </w:r>
      <w:r w:rsidR="007D1B4A">
        <w:rPr>
          <w:rStyle w:val="normaltextrun"/>
          <w:rFonts w:ascii="Arial" w:hAnsi="Arial" w:cs="Arial"/>
          <w:sz w:val="22"/>
          <w:szCs w:val="22"/>
          <w:lang w:val="en-GB"/>
        </w:rPr>
        <w:t xml:space="preserve"> (78% on </w:t>
      </w:r>
      <w:proofErr w:type="spellStart"/>
      <w:r w:rsidR="007D1B4A">
        <w:rPr>
          <w:rStyle w:val="normaltextrun"/>
          <w:rFonts w:ascii="Arial" w:hAnsi="Arial" w:cs="Arial"/>
          <w:sz w:val="22"/>
          <w:szCs w:val="22"/>
          <w:lang w:val="en-GB"/>
        </w:rPr>
        <w:t>ACEi</w:t>
      </w:r>
      <w:proofErr w:type="spellEnd"/>
      <w:r w:rsidR="007D1B4A">
        <w:rPr>
          <w:rStyle w:val="normaltextrun"/>
          <w:rFonts w:ascii="Arial" w:hAnsi="Arial" w:cs="Arial"/>
          <w:sz w:val="22"/>
          <w:szCs w:val="22"/>
          <w:lang w:val="en-GB"/>
        </w:rPr>
        <w:t>/ARB/ARNI)</w:t>
      </w:r>
      <w:r w:rsidR="008E3EA4">
        <w:rPr>
          <w:rStyle w:val="normaltextrun"/>
          <w:rFonts w:ascii="Arial" w:hAnsi="Arial" w:cs="Arial"/>
          <w:sz w:val="22"/>
          <w:szCs w:val="22"/>
          <w:lang w:val="en-GB"/>
        </w:rPr>
        <w:t>, 68% on SGLT2i and 70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% o</w:t>
      </w:r>
      <w:r w:rsidR="008E3EA4">
        <w:rPr>
          <w:rStyle w:val="normaltextrun"/>
          <w:rFonts w:ascii="Arial" w:hAnsi="Arial" w:cs="Arial"/>
          <w:sz w:val="22"/>
          <w:szCs w:val="22"/>
          <w:lang w:val="en-GB"/>
        </w:rPr>
        <w:t>n MRA. Diuretic use reduced to 2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2%.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DB48A2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B7E5522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Conclusion: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94AA94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>In this cohort, nurse-led optimisation achieved improved LVEF and high 12-month medication concordance, comparable to international trials. Further research is required to understand barriers to medication adherence and factors resulting in down-titration.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60D691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50145A9B" w14:textId="77777777" w:rsidR="000B655F" w:rsidRDefault="000B655F" w:rsidP="000B65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D12F267" w14:textId="3D83369B" w:rsidR="00FA006F" w:rsidRPr="000B655F" w:rsidRDefault="00FA006F" w:rsidP="000B655F"/>
    <w:sectPr w:rsidR="00FA006F" w:rsidRPr="000B6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94"/>
    <w:rsid w:val="000B655F"/>
    <w:rsid w:val="000D7A3A"/>
    <w:rsid w:val="00117459"/>
    <w:rsid w:val="001278D8"/>
    <w:rsid w:val="002568FD"/>
    <w:rsid w:val="002907A3"/>
    <w:rsid w:val="00383838"/>
    <w:rsid w:val="00397B33"/>
    <w:rsid w:val="004A5452"/>
    <w:rsid w:val="00560975"/>
    <w:rsid w:val="0059614E"/>
    <w:rsid w:val="005A25E0"/>
    <w:rsid w:val="00692094"/>
    <w:rsid w:val="006B5DFF"/>
    <w:rsid w:val="00791D9E"/>
    <w:rsid w:val="007B201F"/>
    <w:rsid w:val="007C0F10"/>
    <w:rsid w:val="007D1B4A"/>
    <w:rsid w:val="007E19EC"/>
    <w:rsid w:val="008E3EA4"/>
    <w:rsid w:val="00927646"/>
    <w:rsid w:val="009A0AA7"/>
    <w:rsid w:val="00A211E1"/>
    <w:rsid w:val="00A35E63"/>
    <w:rsid w:val="00A74443"/>
    <w:rsid w:val="00C108D7"/>
    <w:rsid w:val="00CC19F5"/>
    <w:rsid w:val="00D06EF2"/>
    <w:rsid w:val="00EC54BF"/>
    <w:rsid w:val="00ED2827"/>
    <w:rsid w:val="00FA006F"/>
    <w:rsid w:val="00F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137B"/>
  <w15:docId w15:val="{DA43BCE8-AD6D-4DC3-A63E-8565A44F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2094"/>
    <w:rPr>
      <w:b/>
      <w:bCs/>
    </w:rPr>
  </w:style>
  <w:style w:type="paragraph" w:customStyle="1" w:styleId="paragraph">
    <w:name w:val="paragraph"/>
    <w:basedOn w:val="Normal"/>
    <w:rsid w:val="000B655F"/>
    <w:pPr>
      <w:spacing w:before="100" w:beforeAutospacing="1" w:after="100" w:afterAutospacing="1"/>
    </w:pPr>
    <w:rPr>
      <w:lang w:val="en-NZ" w:eastAsia="en-NZ"/>
    </w:rPr>
  </w:style>
  <w:style w:type="character" w:customStyle="1" w:styleId="normaltextrun">
    <w:name w:val="normaltextrun"/>
    <w:basedOn w:val="DefaultParagraphFont"/>
    <w:rsid w:val="000B655F"/>
  </w:style>
  <w:style w:type="character" w:customStyle="1" w:styleId="eop">
    <w:name w:val="eop"/>
    <w:basedOn w:val="DefaultParagraphFont"/>
    <w:rsid w:val="000B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Brown (ADHB)</dc:creator>
  <cp:keywords/>
  <dc:description/>
  <cp:lastModifiedBy>Kaylah McBirney</cp:lastModifiedBy>
  <cp:revision>2</cp:revision>
  <dcterms:created xsi:type="dcterms:W3CDTF">2026-05-05T01:16:00Z</dcterms:created>
  <dcterms:modified xsi:type="dcterms:W3CDTF">2026-05-05T01:16:00Z</dcterms:modified>
</cp:coreProperties>
</file>