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1FAAAB68" w14:textId="77777777">
        <w:tc>
          <w:tcPr>
            <w:tcW w:w="8640" w:type="dxa"/>
          </w:tcPr>
          <w:p w14:paraId="2CAA795D" w14:textId="6610E753" w:rsidR="002B7FC8" w:rsidRPr="00185BC0" w:rsidRDefault="004170D2" w:rsidP="00E36AD7">
            <w:pPr>
              <w:jc w:val="both"/>
              <w:rPr>
                <w:rFonts w:ascii="Arial" w:hAnsi="Arial" w:cs="Arial"/>
                <w:b/>
                <w:bCs/>
                <w:iCs/>
                <w:sz w:val="22"/>
                <w:szCs w:val="22"/>
                <w:u w:color="000000"/>
              </w:rPr>
            </w:pPr>
            <w:r w:rsidRPr="00185BC0">
              <w:rPr>
                <w:rFonts w:ascii="Arial" w:hAnsi="Arial" w:cs="Arial"/>
                <w:b/>
                <w:bCs/>
                <w:iCs/>
                <w:sz w:val="22"/>
                <w:szCs w:val="22"/>
                <w:u w:color="000000"/>
              </w:rPr>
              <w:t>A youth empowerment approach to understanding and addressing health inequalities: Participate, engage, and be inspired</w:t>
            </w:r>
          </w:p>
          <w:p w14:paraId="22FEAFCA" w14:textId="77777777" w:rsidR="004170D2" w:rsidRPr="004170D2" w:rsidRDefault="004170D2" w:rsidP="00E36AD7">
            <w:pPr>
              <w:jc w:val="both"/>
              <w:rPr>
                <w:rFonts w:ascii="Arial" w:hAnsi="Arial" w:cs="Arial"/>
                <w:sz w:val="22"/>
                <w:szCs w:val="22"/>
              </w:rPr>
            </w:pPr>
          </w:p>
        </w:tc>
      </w:tr>
      <w:tr w:rsidR="002B7FC8" w:rsidRPr="0003525D" w14:paraId="69E12B31" w14:textId="77777777" w:rsidTr="00D71EFE">
        <w:trPr>
          <w:trHeight w:val="7663"/>
        </w:trPr>
        <w:tc>
          <w:tcPr>
            <w:tcW w:w="8640" w:type="dxa"/>
          </w:tcPr>
          <w:p w14:paraId="1AEDEC94" w14:textId="77777777" w:rsidR="00DA7A71" w:rsidRPr="004170D2" w:rsidRDefault="00DA7A71" w:rsidP="00E36AD7">
            <w:pPr>
              <w:jc w:val="both"/>
              <w:rPr>
                <w:rFonts w:ascii="Arial" w:hAnsi="Arial" w:cs="Arial"/>
                <w:b/>
                <w:sz w:val="22"/>
                <w:szCs w:val="22"/>
              </w:rPr>
            </w:pPr>
          </w:p>
          <w:p w14:paraId="3499BC6A" w14:textId="77777777" w:rsidR="00DA7A71" w:rsidRPr="004170D2" w:rsidRDefault="00C73E89" w:rsidP="00E36AD7">
            <w:pPr>
              <w:jc w:val="both"/>
              <w:rPr>
                <w:rFonts w:ascii="Arial" w:hAnsi="Arial" w:cs="Arial"/>
                <w:b/>
                <w:sz w:val="22"/>
                <w:szCs w:val="22"/>
              </w:rPr>
            </w:pPr>
            <w:r w:rsidRPr="004170D2">
              <w:rPr>
                <w:rFonts w:ascii="Arial" w:hAnsi="Arial" w:cs="Arial"/>
                <w:b/>
                <w:sz w:val="22"/>
                <w:szCs w:val="22"/>
              </w:rPr>
              <w:t>Objectives</w:t>
            </w:r>
          </w:p>
          <w:p w14:paraId="08DDEF66" w14:textId="77777777" w:rsidR="00DA7A71" w:rsidRPr="004170D2" w:rsidRDefault="00DA7A71" w:rsidP="00E36AD7">
            <w:pPr>
              <w:jc w:val="both"/>
              <w:rPr>
                <w:rFonts w:ascii="Arial" w:hAnsi="Arial" w:cs="Arial"/>
                <w:sz w:val="22"/>
                <w:szCs w:val="22"/>
              </w:rPr>
            </w:pPr>
          </w:p>
          <w:p w14:paraId="4535DB12" w14:textId="77777777" w:rsidR="004170D2" w:rsidRPr="004170D2" w:rsidRDefault="004170D2" w:rsidP="004170D2">
            <w:pPr>
              <w:pStyle w:val="Body"/>
              <w:numPr>
                <w:ilvl w:val="0"/>
                <w:numId w:val="2"/>
              </w:numPr>
              <w:pBdr>
                <w:top w:val="nil"/>
                <w:left w:val="nil"/>
                <w:bottom w:val="nil"/>
                <w:right w:val="nil"/>
                <w:between w:val="nil"/>
                <w:bar w:val="nil"/>
              </w:pBdr>
              <w:jc w:val="both"/>
              <w:rPr>
                <w:rFonts w:ascii="Arial" w:eastAsia="Arial" w:hAnsi="Arial" w:cs="Arial"/>
                <w:u w:color="000000"/>
              </w:rPr>
            </w:pPr>
            <w:r w:rsidRPr="004170D2">
              <w:rPr>
                <w:rFonts w:ascii="Arial" w:hAnsi="Arial" w:cs="Arial"/>
                <w:u w:color="000000"/>
              </w:rPr>
              <w:t xml:space="preserve">To learn about the framework of the Pasifika Prediabetes Youth Empowerment Programme (PPYEP), a programme designed to develop Pasifika youth as catalysts to mobilize their communities to address prediabetes.  </w:t>
            </w:r>
          </w:p>
          <w:p w14:paraId="3E22122A" w14:textId="77777777" w:rsidR="004170D2" w:rsidRPr="004170D2" w:rsidRDefault="004170D2" w:rsidP="004170D2">
            <w:pPr>
              <w:pStyle w:val="Body"/>
              <w:numPr>
                <w:ilvl w:val="0"/>
                <w:numId w:val="2"/>
              </w:numPr>
              <w:pBdr>
                <w:top w:val="nil"/>
                <w:left w:val="nil"/>
                <w:bottom w:val="nil"/>
                <w:right w:val="nil"/>
                <w:between w:val="nil"/>
                <w:bar w:val="nil"/>
              </w:pBdr>
              <w:jc w:val="both"/>
              <w:rPr>
                <w:rFonts w:ascii="Arial" w:eastAsia="Arial" w:hAnsi="Arial" w:cs="Arial"/>
                <w:u w:color="000000"/>
              </w:rPr>
            </w:pPr>
            <w:r w:rsidRPr="004170D2">
              <w:rPr>
                <w:rFonts w:ascii="Arial" w:hAnsi="Arial" w:cs="Arial"/>
                <w:u w:color="000000"/>
              </w:rPr>
              <w:t xml:space="preserve">For attendees to experience and understand our unique and engaging style of empowerment programming </w:t>
            </w:r>
          </w:p>
          <w:p w14:paraId="3C1F99D1" w14:textId="77777777" w:rsidR="004170D2" w:rsidRPr="004170D2" w:rsidRDefault="004170D2" w:rsidP="004170D2">
            <w:pPr>
              <w:pStyle w:val="Body"/>
              <w:numPr>
                <w:ilvl w:val="0"/>
                <w:numId w:val="2"/>
              </w:numPr>
              <w:pBdr>
                <w:top w:val="nil"/>
                <w:left w:val="nil"/>
                <w:bottom w:val="nil"/>
                <w:right w:val="nil"/>
                <w:between w:val="nil"/>
                <w:bar w:val="nil"/>
              </w:pBdr>
              <w:jc w:val="both"/>
              <w:rPr>
                <w:rFonts w:ascii="Arial" w:eastAsia="Arial" w:hAnsi="Arial" w:cs="Arial"/>
                <w:u w:color="000000"/>
              </w:rPr>
            </w:pPr>
            <w:r w:rsidRPr="004170D2">
              <w:rPr>
                <w:rFonts w:ascii="Arial" w:hAnsi="Arial" w:cs="Arial"/>
                <w:u w:color="000000"/>
              </w:rPr>
              <w:t xml:space="preserve">To discuss how a youth empowerment approach could be used in addressing wider public health issues and for different population groups. </w:t>
            </w:r>
          </w:p>
          <w:p w14:paraId="235CC87C" w14:textId="77777777" w:rsidR="00DA7A71" w:rsidRPr="004170D2" w:rsidRDefault="00DA7A71" w:rsidP="00E36AD7">
            <w:pPr>
              <w:jc w:val="both"/>
              <w:rPr>
                <w:rFonts w:ascii="Arial" w:hAnsi="Arial" w:cs="Arial"/>
                <w:sz w:val="22"/>
                <w:szCs w:val="22"/>
              </w:rPr>
            </w:pPr>
          </w:p>
          <w:p w14:paraId="3984038E" w14:textId="77777777" w:rsidR="00DA7A71" w:rsidRPr="004170D2" w:rsidRDefault="00DA7A71" w:rsidP="00E36AD7">
            <w:pPr>
              <w:jc w:val="both"/>
              <w:rPr>
                <w:rFonts w:ascii="Arial" w:hAnsi="Arial" w:cs="Arial"/>
                <w:sz w:val="22"/>
                <w:szCs w:val="22"/>
              </w:rPr>
            </w:pPr>
          </w:p>
          <w:p w14:paraId="18893581" w14:textId="77777777" w:rsidR="00DA7A71" w:rsidRPr="004170D2" w:rsidRDefault="00C73E89" w:rsidP="00E36AD7">
            <w:pPr>
              <w:jc w:val="both"/>
              <w:rPr>
                <w:rFonts w:ascii="Arial" w:hAnsi="Arial" w:cs="Arial"/>
                <w:b/>
                <w:sz w:val="22"/>
                <w:szCs w:val="22"/>
              </w:rPr>
            </w:pPr>
            <w:r w:rsidRPr="004170D2">
              <w:rPr>
                <w:rFonts w:ascii="Arial" w:hAnsi="Arial" w:cs="Arial"/>
                <w:b/>
                <w:sz w:val="22"/>
                <w:szCs w:val="22"/>
              </w:rPr>
              <w:t>Format</w:t>
            </w:r>
          </w:p>
          <w:p w14:paraId="62D66450" w14:textId="77777777" w:rsidR="00DA7A71" w:rsidRPr="004170D2" w:rsidRDefault="00DA7A71" w:rsidP="00E36AD7">
            <w:pPr>
              <w:jc w:val="both"/>
              <w:rPr>
                <w:rFonts w:ascii="Arial" w:hAnsi="Arial" w:cs="Arial"/>
                <w:b/>
                <w:sz w:val="22"/>
                <w:szCs w:val="22"/>
              </w:rPr>
            </w:pPr>
          </w:p>
          <w:p w14:paraId="55D331B8" w14:textId="77777777" w:rsidR="004170D2" w:rsidRPr="004170D2" w:rsidRDefault="004170D2" w:rsidP="004170D2">
            <w:pPr>
              <w:pStyle w:val="Body"/>
              <w:jc w:val="both"/>
              <w:rPr>
                <w:rFonts w:ascii="Arial" w:eastAsia="Arial" w:hAnsi="Arial" w:cs="Arial"/>
                <w:b/>
                <w:bCs/>
                <w:u w:color="000000"/>
              </w:rPr>
            </w:pPr>
            <w:r w:rsidRPr="004170D2">
              <w:rPr>
                <w:rFonts w:ascii="Arial" w:hAnsi="Arial" w:cs="Arial"/>
                <w:b/>
                <w:bCs/>
                <w:u w:color="000000"/>
              </w:rPr>
              <w:t xml:space="preserve">Part 1: Introduction of facilitators, the PPYEP programme, and outline for the workshop </w:t>
            </w:r>
            <w:bookmarkStart w:id="0" w:name="_GoBack"/>
            <w:bookmarkEnd w:id="0"/>
          </w:p>
          <w:p w14:paraId="222745D3" w14:textId="77777777" w:rsidR="004170D2" w:rsidRPr="004170D2" w:rsidRDefault="004170D2" w:rsidP="004170D2">
            <w:pPr>
              <w:pStyle w:val="Body"/>
              <w:widowControl w:val="0"/>
              <w:ind w:left="2" w:hanging="2"/>
              <w:rPr>
                <w:rFonts w:ascii="Arial" w:eastAsia="Arial" w:hAnsi="Arial" w:cs="Arial"/>
                <w:u w:color="000000"/>
              </w:rPr>
            </w:pPr>
          </w:p>
          <w:p w14:paraId="57AE6B4B" w14:textId="77777777" w:rsidR="004170D2" w:rsidRPr="004170D2" w:rsidRDefault="004170D2" w:rsidP="004170D2">
            <w:pPr>
              <w:pStyle w:val="Body"/>
              <w:widowControl w:val="0"/>
              <w:ind w:left="2" w:hanging="2"/>
              <w:rPr>
                <w:rFonts w:ascii="Arial" w:eastAsia="Arial" w:hAnsi="Arial" w:cs="Arial"/>
                <w:b/>
                <w:bCs/>
                <w:u w:color="000000"/>
              </w:rPr>
            </w:pPr>
            <w:r w:rsidRPr="004170D2">
              <w:rPr>
                <w:rFonts w:ascii="Arial" w:hAnsi="Arial" w:cs="Arial"/>
                <w:b/>
                <w:bCs/>
                <w:u w:color="000000"/>
              </w:rPr>
              <w:t xml:space="preserve">Part 2: Module:  Root-cause analysis of prediabetes </w:t>
            </w:r>
          </w:p>
          <w:p w14:paraId="59570C90" w14:textId="77777777" w:rsidR="004170D2" w:rsidRPr="004170D2" w:rsidRDefault="004170D2" w:rsidP="004170D2">
            <w:pPr>
              <w:pStyle w:val="Body"/>
              <w:widowControl w:val="0"/>
              <w:numPr>
                <w:ilvl w:val="0"/>
                <w:numId w:val="4"/>
              </w:numPr>
              <w:pBdr>
                <w:top w:val="nil"/>
                <w:left w:val="nil"/>
                <w:bottom w:val="nil"/>
                <w:right w:val="nil"/>
                <w:between w:val="nil"/>
                <w:bar w:val="nil"/>
              </w:pBdr>
              <w:rPr>
                <w:rFonts w:ascii="Arial" w:eastAsia="Arial" w:hAnsi="Arial" w:cs="Arial"/>
                <w:u w:color="000000"/>
                <w:lang w:val="nl-NL"/>
              </w:rPr>
            </w:pPr>
            <w:r w:rsidRPr="004170D2">
              <w:rPr>
                <w:rFonts w:ascii="Arial" w:hAnsi="Arial" w:cs="Arial"/>
                <w:u w:color="000000"/>
              </w:rPr>
              <w:t xml:space="preserve">This module will allow the participants to explore, identify and discuss relevant social and environmental determinants of prediabetes, using a three-tiered analysis. </w:t>
            </w:r>
          </w:p>
          <w:p w14:paraId="7B89D4DD" w14:textId="77777777" w:rsidR="004170D2" w:rsidRPr="004170D2" w:rsidRDefault="004170D2" w:rsidP="004170D2">
            <w:pPr>
              <w:pStyle w:val="Body"/>
              <w:widowControl w:val="0"/>
              <w:numPr>
                <w:ilvl w:val="0"/>
                <w:numId w:val="4"/>
              </w:numPr>
              <w:pBdr>
                <w:top w:val="nil"/>
                <w:left w:val="nil"/>
                <w:bottom w:val="nil"/>
                <w:right w:val="nil"/>
                <w:between w:val="nil"/>
                <w:bar w:val="nil"/>
              </w:pBdr>
              <w:rPr>
                <w:rFonts w:ascii="Arial" w:eastAsia="Arial" w:hAnsi="Arial" w:cs="Arial"/>
                <w:u w:color="000000"/>
                <w:lang w:val="nl-NL"/>
              </w:rPr>
            </w:pPr>
            <w:r w:rsidRPr="004170D2">
              <w:rPr>
                <w:rFonts w:ascii="Arial" w:hAnsi="Arial" w:cs="Arial"/>
                <w:u w:color="000000"/>
              </w:rPr>
              <w:t xml:space="preserve">Groups will brainstorm ideas as facilitators encourage groups to discuss their categorization and explore the root causes, systemic issues and other and environmental determinants of the disease. Through this </w:t>
            </w:r>
            <w:r w:rsidR="00D1085A" w:rsidRPr="004170D2">
              <w:rPr>
                <w:rFonts w:ascii="Arial" w:hAnsi="Arial" w:cs="Arial"/>
                <w:u w:color="000000"/>
              </w:rPr>
              <w:t>process,</w:t>
            </w:r>
            <w:r w:rsidRPr="004170D2">
              <w:rPr>
                <w:rFonts w:ascii="Arial" w:hAnsi="Arial" w:cs="Arial"/>
                <w:u w:color="000000"/>
              </w:rPr>
              <w:t xml:space="preserve"> the attendees will participate in small groups to unpack and understand the contributing factors of prediabetes. </w:t>
            </w:r>
          </w:p>
          <w:p w14:paraId="71B81958" w14:textId="77777777" w:rsidR="004170D2" w:rsidRPr="004170D2" w:rsidRDefault="004170D2" w:rsidP="004170D2">
            <w:pPr>
              <w:pStyle w:val="Body"/>
              <w:widowControl w:val="0"/>
              <w:pBdr>
                <w:top w:val="nil"/>
                <w:left w:val="nil"/>
                <w:bottom w:val="nil"/>
                <w:right w:val="nil"/>
                <w:between w:val="nil"/>
                <w:bar w:val="nil"/>
              </w:pBdr>
              <w:ind w:left="242"/>
              <w:rPr>
                <w:rFonts w:ascii="Arial" w:eastAsia="Arial" w:hAnsi="Arial" w:cs="Arial"/>
                <w:u w:color="000000"/>
                <w:lang w:val="nl-NL"/>
              </w:rPr>
            </w:pPr>
          </w:p>
          <w:p w14:paraId="3EB136EF" w14:textId="77777777" w:rsidR="004170D2" w:rsidRPr="004170D2" w:rsidRDefault="004170D2" w:rsidP="004170D2">
            <w:pPr>
              <w:pStyle w:val="Body"/>
              <w:widowControl w:val="0"/>
              <w:ind w:left="2" w:hanging="2"/>
              <w:rPr>
                <w:rFonts w:ascii="Arial" w:eastAsia="Arial" w:hAnsi="Arial" w:cs="Arial"/>
                <w:b/>
                <w:bCs/>
                <w:u w:color="000000"/>
              </w:rPr>
            </w:pPr>
            <w:r w:rsidRPr="004170D2">
              <w:rPr>
                <w:rFonts w:ascii="Arial" w:hAnsi="Arial" w:cs="Arial"/>
                <w:b/>
                <w:bCs/>
                <w:u w:color="000000"/>
              </w:rPr>
              <w:t xml:space="preserve">Part 3: Debrief: understanding the crux of this module </w:t>
            </w:r>
          </w:p>
          <w:p w14:paraId="2F95534E" w14:textId="77777777" w:rsidR="004170D2" w:rsidRPr="004170D2" w:rsidRDefault="004170D2" w:rsidP="004170D2">
            <w:pPr>
              <w:pStyle w:val="Body"/>
              <w:widowControl w:val="0"/>
              <w:numPr>
                <w:ilvl w:val="0"/>
                <w:numId w:val="4"/>
              </w:numPr>
              <w:pBdr>
                <w:top w:val="nil"/>
                <w:left w:val="nil"/>
                <w:bottom w:val="nil"/>
                <w:right w:val="nil"/>
                <w:between w:val="nil"/>
                <w:bar w:val="nil"/>
              </w:pBdr>
              <w:rPr>
                <w:rFonts w:ascii="Arial" w:eastAsia="Arial" w:hAnsi="Arial" w:cs="Arial"/>
                <w:u w:color="000000"/>
              </w:rPr>
            </w:pPr>
            <w:r w:rsidRPr="004170D2">
              <w:rPr>
                <w:rFonts w:ascii="Arial" w:hAnsi="Arial" w:cs="Arial"/>
                <w:u w:color="000000"/>
              </w:rPr>
              <w:t xml:space="preserve">The facilitators will ask a series of questions for participants to reflect on their experience of the module and what they have learnt.  We will also discuss the potential uptake and application of the module and the empowerment </w:t>
            </w:r>
            <w:r w:rsidR="00D1085A" w:rsidRPr="004170D2">
              <w:rPr>
                <w:rFonts w:ascii="Arial" w:hAnsi="Arial" w:cs="Arial"/>
                <w:u w:color="000000"/>
              </w:rPr>
              <w:t>programming across</w:t>
            </w:r>
            <w:r w:rsidRPr="004170D2">
              <w:rPr>
                <w:rFonts w:ascii="Arial" w:hAnsi="Arial" w:cs="Arial"/>
                <w:u w:color="000000"/>
              </w:rPr>
              <w:t xml:space="preserve"> different contexts.  </w:t>
            </w:r>
          </w:p>
          <w:p w14:paraId="0EA9A112" w14:textId="77777777" w:rsidR="004170D2" w:rsidRPr="004170D2" w:rsidRDefault="004170D2" w:rsidP="004170D2">
            <w:pPr>
              <w:pStyle w:val="Body"/>
              <w:jc w:val="both"/>
              <w:rPr>
                <w:rFonts w:ascii="Arial" w:hAnsi="Arial" w:cs="Arial"/>
                <w:b/>
                <w:bCs/>
                <w:u w:val="single" w:color="000000"/>
              </w:rPr>
            </w:pPr>
          </w:p>
          <w:p w14:paraId="1C94D8D4" w14:textId="77777777" w:rsidR="00DA7A71" w:rsidRPr="004170D2" w:rsidRDefault="00DA7A71" w:rsidP="00E36AD7">
            <w:pPr>
              <w:jc w:val="both"/>
              <w:rPr>
                <w:rFonts w:ascii="Arial" w:hAnsi="Arial" w:cs="Arial"/>
                <w:b/>
                <w:sz w:val="22"/>
                <w:szCs w:val="22"/>
              </w:rPr>
            </w:pPr>
          </w:p>
          <w:p w14:paraId="154EF3B7" w14:textId="77777777" w:rsidR="00DA7A71" w:rsidRPr="004170D2" w:rsidRDefault="00C73E89" w:rsidP="00E36AD7">
            <w:pPr>
              <w:jc w:val="both"/>
              <w:rPr>
                <w:rFonts w:ascii="Arial" w:hAnsi="Arial" w:cs="Arial"/>
                <w:b/>
                <w:sz w:val="22"/>
                <w:szCs w:val="22"/>
              </w:rPr>
            </w:pPr>
            <w:r w:rsidRPr="004170D2">
              <w:rPr>
                <w:rFonts w:ascii="Arial" w:hAnsi="Arial" w:cs="Arial"/>
                <w:b/>
                <w:sz w:val="22"/>
                <w:szCs w:val="22"/>
              </w:rPr>
              <w:t>Learning goals</w:t>
            </w:r>
          </w:p>
          <w:p w14:paraId="10E87DE3" w14:textId="77777777" w:rsidR="00DA7A71" w:rsidRPr="004170D2" w:rsidRDefault="00DA7A71" w:rsidP="00E36AD7">
            <w:pPr>
              <w:jc w:val="both"/>
              <w:rPr>
                <w:rFonts w:ascii="Arial" w:hAnsi="Arial" w:cs="Arial"/>
                <w:b/>
                <w:sz w:val="22"/>
                <w:szCs w:val="22"/>
              </w:rPr>
            </w:pPr>
          </w:p>
          <w:p w14:paraId="42322F1A" w14:textId="77777777" w:rsidR="004170D2" w:rsidRPr="004170D2" w:rsidRDefault="004170D2" w:rsidP="004170D2">
            <w:pPr>
              <w:pStyle w:val="Body"/>
              <w:numPr>
                <w:ilvl w:val="0"/>
                <w:numId w:val="2"/>
              </w:numPr>
              <w:pBdr>
                <w:top w:val="nil"/>
                <w:left w:val="nil"/>
                <w:bottom w:val="nil"/>
                <w:right w:val="nil"/>
                <w:between w:val="nil"/>
                <w:bar w:val="nil"/>
              </w:pBdr>
              <w:jc w:val="both"/>
              <w:rPr>
                <w:rFonts w:ascii="Arial" w:eastAsia="Arial" w:hAnsi="Arial" w:cs="Arial"/>
                <w:u w:color="000000"/>
              </w:rPr>
            </w:pPr>
            <w:r w:rsidRPr="004170D2">
              <w:rPr>
                <w:rFonts w:ascii="Arial" w:hAnsi="Arial" w:cs="Arial"/>
                <w:u w:color="000000"/>
              </w:rPr>
              <w:t xml:space="preserve">Key principles of youth empowerment programming within a health context </w:t>
            </w:r>
          </w:p>
          <w:p w14:paraId="1A45D6C8" w14:textId="77777777" w:rsidR="004170D2" w:rsidRPr="004170D2" w:rsidRDefault="004170D2" w:rsidP="004170D2">
            <w:pPr>
              <w:pStyle w:val="Body"/>
              <w:numPr>
                <w:ilvl w:val="0"/>
                <w:numId w:val="2"/>
              </w:numPr>
              <w:pBdr>
                <w:top w:val="nil"/>
                <w:left w:val="nil"/>
                <w:bottom w:val="nil"/>
                <w:right w:val="nil"/>
                <w:between w:val="nil"/>
                <w:bar w:val="nil"/>
              </w:pBdr>
              <w:jc w:val="both"/>
              <w:rPr>
                <w:rFonts w:ascii="Arial" w:eastAsia="Arial" w:hAnsi="Arial" w:cs="Arial"/>
                <w:b/>
                <w:bCs/>
                <w:u w:val="single" w:color="000000"/>
              </w:rPr>
            </w:pPr>
            <w:r w:rsidRPr="004170D2">
              <w:rPr>
                <w:rFonts w:ascii="Arial" w:hAnsi="Arial" w:cs="Arial"/>
                <w:u w:color="000000"/>
              </w:rPr>
              <w:t xml:space="preserve">Youth empowerment can be used as a </w:t>
            </w:r>
            <w:r w:rsidR="00F10D52">
              <w:rPr>
                <w:rFonts w:ascii="Arial" w:hAnsi="Arial" w:cs="Arial"/>
                <w:u w:color="000000"/>
              </w:rPr>
              <w:t>programme</w:t>
            </w:r>
            <w:r w:rsidRPr="004170D2">
              <w:rPr>
                <w:rFonts w:ascii="Arial" w:hAnsi="Arial" w:cs="Arial"/>
                <w:u w:color="000000"/>
              </w:rPr>
              <w:t xml:space="preserve"> for promoting health equity, </w:t>
            </w:r>
            <w:proofErr w:type="gramStart"/>
            <w:r w:rsidR="00F10D52">
              <w:rPr>
                <w:rFonts w:ascii="Arial" w:hAnsi="Arial" w:cs="Arial"/>
                <w:u w:color="000000"/>
              </w:rPr>
              <w:t>by</w:t>
            </w:r>
            <w:r w:rsidRPr="004170D2">
              <w:rPr>
                <w:rFonts w:ascii="Arial" w:hAnsi="Arial" w:cs="Arial"/>
                <w:u w:color="000000"/>
              </w:rPr>
              <w:t xml:space="preserve">  developing</w:t>
            </w:r>
            <w:proofErr w:type="gramEnd"/>
            <w:r w:rsidRPr="004170D2">
              <w:rPr>
                <w:rFonts w:ascii="Arial" w:hAnsi="Arial" w:cs="Arial"/>
                <w:u w:color="000000"/>
              </w:rPr>
              <w:t xml:space="preserve"> the capacity and capability of young people as catalysts in activating their communities for healthier living and to reduce health disparities.</w:t>
            </w:r>
          </w:p>
          <w:p w14:paraId="044D8470" w14:textId="77777777" w:rsidR="00DA7A71" w:rsidRPr="004170D2" w:rsidRDefault="00DA7A71" w:rsidP="00E36AD7">
            <w:pPr>
              <w:jc w:val="both"/>
              <w:rPr>
                <w:rFonts w:ascii="Arial" w:hAnsi="Arial" w:cs="Arial"/>
                <w:b/>
                <w:sz w:val="22"/>
                <w:szCs w:val="22"/>
              </w:rPr>
            </w:pPr>
          </w:p>
          <w:p w14:paraId="2CDE5EA2" w14:textId="77777777" w:rsidR="00DA7A71" w:rsidRPr="004170D2" w:rsidRDefault="00DA7A71" w:rsidP="00E36AD7">
            <w:pPr>
              <w:jc w:val="both"/>
              <w:rPr>
                <w:rFonts w:ascii="Arial" w:hAnsi="Arial" w:cs="Arial"/>
                <w:bCs/>
                <w:sz w:val="22"/>
                <w:szCs w:val="22"/>
              </w:rPr>
            </w:pPr>
          </w:p>
        </w:tc>
      </w:tr>
    </w:tbl>
    <w:p w14:paraId="7E42D56F" w14:textId="77777777"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E57D1"/>
    <w:multiLevelType w:val="hybridMultilevel"/>
    <w:tmpl w:val="817C018E"/>
    <w:styleLink w:val="Bullets"/>
    <w:lvl w:ilvl="0" w:tplc="05DAE06E">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C685E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E373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5EB5DA">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B6DD48">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98AE7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DEA458">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64B108">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F44A50">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2367EC4"/>
    <w:multiLevelType w:val="hybridMultilevel"/>
    <w:tmpl w:val="F2B47744"/>
    <w:numStyleLink w:val="Dash"/>
  </w:abstractNum>
  <w:abstractNum w:abstractNumId="2" w15:restartNumberingAfterBreak="0">
    <w:nsid w:val="543A7AA6"/>
    <w:multiLevelType w:val="hybridMultilevel"/>
    <w:tmpl w:val="F2B47744"/>
    <w:styleLink w:val="Dash"/>
    <w:lvl w:ilvl="0" w:tplc="DADA6FF8">
      <w:start w:val="1"/>
      <w:numFmt w:val="bullet"/>
      <w:lvlText w:val="-"/>
      <w:lvlJc w:val="left"/>
      <w:pPr>
        <w:ind w:left="24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5AB94A">
      <w:start w:val="1"/>
      <w:numFmt w:val="bullet"/>
      <w:lvlText w:val="-"/>
      <w:lvlJc w:val="left"/>
      <w:pPr>
        <w:ind w:left="48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0A270E">
      <w:start w:val="1"/>
      <w:numFmt w:val="bullet"/>
      <w:lvlText w:val="-"/>
      <w:lvlJc w:val="left"/>
      <w:pPr>
        <w:ind w:left="72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2CAAE2">
      <w:start w:val="1"/>
      <w:numFmt w:val="bullet"/>
      <w:lvlText w:val="-"/>
      <w:lvlJc w:val="left"/>
      <w:pPr>
        <w:ind w:left="96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A561C">
      <w:start w:val="1"/>
      <w:numFmt w:val="bullet"/>
      <w:lvlText w:val="-"/>
      <w:lvlJc w:val="left"/>
      <w:pPr>
        <w:ind w:left="120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40F4F8">
      <w:start w:val="1"/>
      <w:numFmt w:val="bullet"/>
      <w:lvlText w:val="-"/>
      <w:lvlJc w:val="left"/>
      <w:pPr>
        <w:ind w:left="144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6E03EE">
      <w:start w:val="1"/>
      <w:numFmt w:val="bullet"/>
      <w:lvlText w:val="-"/>
      <w:lvlJc w:val="left"/>
      <w:pPr>
        <w:ind w:left="168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6080A6">
      <w:start w:val="1"/>
      <w:numFmt w:val="bullet"/>
      <w:lvlText w:val="-"/>
      <w:lvlJc w:val="left"/>
      <w:pPr>
        <w:ind w:left="192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C3072">
      <w:start w:val="1"/>
      <w:numFmt w:val="bullet"/>
      <w:lvlText w:val="-"/>
      <w:lvlJc w:val="left"/>
      <w:pPr>
        <w:ind w:left="2162" w:hanging="24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92C2DA4"/>
    <w:multiLevelType w:val="hybridMultilevel"/>
    <w:tmpl w:val="817C018E"/>
    <w:numStyleLink w:val="Bullets"/>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85BC0"/>
    <w:rsid w:val="001C3A37"/>
    <w:rsid w:val="00211765"/>
    <w:rsid w:val="00230B21"/>
    <w:rsid w:val="00242808"/>
    <w:rsid w:val="00294265"/>
    <w:rsid w:val="002B7FC8"/>
    <w:rsid w:val="002F34DB"/>
    <w:rsid w:val="00317FFE"/>
    <w:rsid w:val="00363AF7"/>
    <w:rsid w:val="003A6236"/>
    <w:rsid w:val="003B15A7"/>
    <w:rsid w:val="003F596D"/>
    <w:rsid w:val="004170D2"/>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32377"/>
    <w:rsid w:val="00962442"/>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1085A"/>
    <w:rsid w:val="00D71EFE"/>
    <w:rsid w:val="00DA45EE"/>
    <w:rsid w:val="00DA7A71"/>
    <w:rsid w:val="00DC2C64"/>
    <w:rsid w:val="00DE6D44"/>
    <w:rsid w:val="00E0479B"/>
    <w:rsid w:val="00E36AD7"/>
    <w:rsid w:val="00E379B4"/>
    <w:rsid w:val="00E458B1"/>
    <w:rsid w:val="00EA386D"/>
    <w:rsid w:val="00F10D52"/>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9EACB"/>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rsid w:val="00932377"/>
    <w:rPr>
      <w:rFonts w:ascii="Helvetica" w:eastAsia="Arial Unicode MS" w:hAnsi="Arial Unicode MS" w:cs="Arial Unicode MS"/>
      <w:color w:val="000000"/>
      <w:sz w:val="22"/>
      <w:szCs w:val="22"/>
      <w:lang w:val="en-AU" w:eastAsia="en-AU"/>
    </w:rPr>
  </w:style>
  <w:style w:type="numbering" w:customStyle="1" w:styleId="Bullets">
    <w:name w:val="Bullets"/>
    <w:rsid w:val="004170D2"/>
    <w:pPr>
      <w:numPr>
        <w:numId w:val="1"/>
      </w:numPr>
    </w:pPr>
  </w:style>
  <w:style w:type="numbering" w:customStyle="1" w:styleId="Dash">
    <w:name w:val="Dash"/>
    <w:rsid w:val="004170D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9c8a2b7b-0bee-4c48-b0a6-23db8982d3bc"/>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6911e96c-4cc4-42d5-8e43-f93924cf6a05"/>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232BD97-C06F-4FA9-9919-DFC5CF11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2018-09-02T02:42:00Z</dcterms:created>
  <dcterms:modified xsi:type="dcterms:W3CDTF">2018-09-02T02:42:00Z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