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F4D99" w14:textId="77777777" w:rsidR="00B97928" w:rsidRDefault="00B97928">
      <w:pPr>
        <w:spacing w:line="360" w:lineRule="auto"/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</w:pPr>
    </w:p>
    <w:p w14:paraId="3DE0BF86" w14:textId="77777777" w:rsidR="00B97928" w:rsidRPr="001233E8" w:rsidRDefault="005F34FD" w:rsidP="001233E8">
      <w:pPr>
        <w:jc w:val="both"/>
        <w:rPr>
          <w:rStyle w:val="Strong"/>
          <w:rFonts w:ascii="Arial" w:eastAsia="Segoe UI" w:hAnsi="Arial" w:cs="Arial"/>
          <w:bCs/>
          <w:color w:val="0F1115"/>
          <w:shd w:val="clear" w:color="auto" w:fill="FFFFFF"/>
        </w:rPr>
      </w:pPr>
      <w:r w:rsidRPr="001233E8">
        <w:rPr>
          <w:rStyle w:val="Strong"/>
          <w:rFonts w:ascii="Arial" w:eastAsia="Segoe UI" w:hAnsi="Arial" w:cs="Arial"/>
          <w:bCs/>
          <w:color w:val="0F1115"/>
          <w:shd w:val="clear" w:color="auto" w:fill="FFFFFF"/>
        </w:rPr>
        <w:t>Proteomic Insights into the Healing Mechanisms of Negative Pressure Wound Therapy for Diabetic Foot Ulcers</w:t>
      </w:r>
    </w:p>
    <w:p w14:paraId="72204275" w14:textId="77777777" w:rsidR="00B97928" w:rsidRDefault="00B97928" w:rsidP="001233E8">
      <w:pPr>
        <w:jc w:val="both"/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</w:pPr>
    </w:p>
    <w:p w14:paraId="5AA266FB" w14:textId="77777777" w:rsidR="00B97928" w:rsidRDefault="005F34FD" w:rsidP="001233E8">
      <w:pPr>
        <w:jc w:val="both"/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</w:pPr>
      <w:r w:rsidRPr="001233E8">
        <w:rPr>
          <w:rStyle w:val="Strong"/>
          <w:rFonts w:ascii="Arial" w:eastAsia="Segoe UI" w:hAnsi="Arial" w:cs="Arial"/>
          <w:bCs/>
          <w:color w:val="0F1115"/>
          <w:shd w:val="clear" w:color="auto" w:fill="FFFFFF"/>
        </w:rPr>
        <w:t>Aim:</w:t>
      </w:r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> This study aimed to elucidate the tissue-level molecular mechanisms underlying negative pressure wound therapy (NPWT) for diabetic foot ulcers (DFU) using Data-Independent Acquisition (DIA) quantitative proteomics.</w:t>
      </w:r>
    </w:p>
    <w:p w14:paraId="23559B5A" w14:textId="77777777" w:rsidR="00B97928" w:rsidRDefault="005F34FD" w:rsidP="001233E8">
      <w:pPr>
        <w:jc w:val="both"/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</w:pPr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 xml:space="preserve">Methods: Paired skin tissue samples were obtained from six DFU patients before and after NPWT. DIA proteomics was performed to identify differentially expressed proteins (DEPs) (fold change ≥1.5 or ≤-1.5, P&lt;0.05). Bioinformatic analyses including GO, KEGG, </w:t>
      </w:r>
      <w:proofErr w:type="spellStart"/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>Reactome</w:t>
      </w:r>
      <w:proofErr w:type="spellEnd"/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 xml:space="preserve">, and </w:t>
      </w:r>
      <w:proofErr w:type="spellStart"/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>Signaling</w:t>
      </w:r>
      <w:proofErr w:type="spellEnd"/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 xml:space="preserve"> Pathway Impact Analysis (SPIA) were used to characterize biological functions and pathways.</w:t>
      </w:r>
    </w:p>
    <w:p w14:paraId="2635A250" w14:textId="77777777" w:rsidR="00B97928" w:rsidRDefault="005F34FD" w:rsidP="001233E8">
      <w:pPr>
        <w:jc w:val="both"/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</w:pPr>
      <w:r w:rsidRPr="001233E8">
        <w:rPr>
          <w:rStyle w:val="Strong"/>
          <w:rFonts w:ascii="Arial" w:eastAsia="Segoe UI" w:hAnsi="Arial" w:cs="Arial"/>
          <w:bCs/>
          <w:color w:val="0F1115"/>
          <w:shd w:val="clear" w:color="auto" w:fill="FFFFFF"/>
        </w:rPr>
        <w:t>Results:</w:t>
      </w:r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 xml:space="preserve"> NPWT induced a marked shift in the tissue proteome, as shown by principal component analysis. A total of 1,821 DEPs were identified, with 1,225 up-regulated and 596 down-regulated post-treatment. Up-regulated proteins were predominantly enriched in metabolic pathways, including carbon metabolism, amino acid biosynthesis, and the citrate cycle (TCA cycle). Down-regulated proteins were significantly associated with inflammatory and immune pathways, such as chemokine </w:t>
      </w:r>
      <w:proofErr w:type="spellStart"/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>signaling</w:t>
      </w:r>
      <w:proofErr w:type="spellEnd"/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 xml:space="preserve">, leukocyte </w:t>
      </w:r>
      <w:proofErr w:type="spellStart"/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>transendothelial</w:t>
      </w:r>
      <w:proofErr w:type="spellEnd"/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 xml:space="preserve"> migr</w:t>
      </w:r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 xml:space="preserve">ation, lysosomes, neutrophil extracellular trap formation, and phagosomes. SPIA further confirmed inhibition of chemokine </w:t>
      </w:r>
      <w:proofErr w:type="spellStart"/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>signaling</w:t>
      </w:r>
      <w:proofErr w:type="spellEnd"/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 xml:space="preserve">. DEPs were also involved in extracellular matrix organization and </w:t>
      </w:r>
      <w:proofErr w:type="spellStart"/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>defense</w:t>
      </w:r>
      <w:proofErr w:type="spellEnd"/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 xml:space="preserve"> responses.</w:t>
      </w:r>
    </w:p>
    <w:p w14:paraId="72A0B000" w14:textId="77777777" w:rsidR="00B97928" w:rsidRDefault="005F34FD" w:rsidP="001233E8">
      <w:pPr>
        <w:jc w:val="both"/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</w:pPr>
      <w:r w:rsidRPr="001233E8">
        <w:rPr>
          <w:rStyle w:val="Strong"/>
          <w:rFonts w:ascii="Arial" w:eastAsia="Segoe UI" w:hAnsi="Arial" w:cs="Arial"/>
          <w:bCs/>
          <w:color w:val="0F1115"/>
          <w:shd w:val="clear" w:color="auto" w:fill="FFFFFF"/>
        </w:rPr>
        <w:t>Conclusion:</w:t>
      </w:r>
      <w:r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  <w:t> NPWT promotes DFU healing via a dual mechanism: revitalizing local energy and amino acid metabolism to support tissue regeneration, while suppressing excessive inflammatory damage. These proteomic insights provide a molecular rationale for the clinical efficacy of NPWT.</w:t>
      </w:r>
    </w:p>
    <w:p w14:paraId="198CE125" w14:textId="77777777" w:rsidR="00B97928" w:rsidRDefault="005F34FD">
      <w:pPr>
        <w:spacing w:line="360" w:lineRule="auto"/>
        <w:rPr>
          <w:rStyle w:val="Strong"/>
          <w:rFonts w:ascii="Arial" w:eastAsia="Segoe UI" w:hAnsi="Arial" w:cs="Arial"/>
          <w:b w:val="0"/>
          <w:color w:val="0F1115"/>
          <w:shd w:val="clear" w:color="auto" w:fill="FFFFFF"/>
        </w:rPr>
      </w:pPr>
      <w:r>
        <w:rPr>
          <w:rFonts w:ascii="Arial" w:eastAsia="SimSun" w:hAnsi="Arial" w:cs="Arial" w:hint="eastAsia"/>
          <w:i/>
          <w:iCs/>
          <w:noProof/>
          <w:lang w:eastAsia="zh-CN"/>
        </w:rPr>
        <w:drawing>
          <wp:inline distT="0" distB="0" distL="114300" distR="114300" wp14:anchorId="2E368C90" wp14:editId="7DBB4CC5">
            <wp:extent cx="5723255" cy="3194050"/>
            <wp:effectExtent l="0" t="0" r="4445" b="6350"/>
            <wp:docPr id="1" name="图片 1" descr="98bd2cb7dac30de348abd4c89fb401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8bd2cb7dac30de348abd4c89fb401e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606B5" w14:textId="77777777" w:rsidR="00B97928" w:rsidRDefault="00B97928">
      <w:pPr>
        <w:rPr>
          <w:rFonts w:ascii="Arial" w:eastAsia="SimSun" w:hAnsi="Arial" w:cs="Arial"/>
          <w:i/>
          <w:iCs/>
          <w:lang w:eastAsia="zh-CN"/>
        </w:rPr>
      </w:pPr>
    </w:p>
    <w:p w14:paraId="185C256C" w14:textId="77777777" w:rsidR="00B97928" w:rsidRDefault="00B97928">
      <w:pPr>
        <w:rPr>
          <w:rFonts w:ascii="Arial" w:eastAsia="SimSun" w:hAnsi="Arial" w:cs="Arial"/>
          <w:lang w:val="en-US" w:eastAsia="zh-CN"/>
        </w:rPr>
      </w:pPr>
    </w:p>
    <w:p w14:paraId="221467A5" w14:textId="77777777" w:rsidR="00B97928" w:rsidRDefault="00B97928">
      <w:pPr>
        <w:rPr>
          <w:rFonts w:ascii="Arial" w:eastAsia="SimSun" w:hAnsi="Arial" w:cs="Arial"/>
          <w:lang w:val="en-US" w:eastAsia="zh-CN"/>
        </w:rPr>
      </w:pPr>
    </w:p>
    <w:p w14:paraId="03D8DC64" w14:textId="77777777" w:rsidR="00B97928" w:rsidRDefault="00B97928">
      <w:pPr>
        <w:rPr>
          <w:rFonts w:ascii="Arial" w:hAnsi="Arial" w:cs="Arial"/>
        </w:rPr>
      </w:pPr>
    </w:p>
    <w:p w14:paraId="318BABB1" w14:textId="77777777" w:rsidR="00B97928" w:rsidRDefault="00B97928">
      <w:pPr>
        <w:rPr>
          <w:rFonts w:ascii="Arial" w:hAnsi="Arial" w:cs="Arial"/>
        </w:rPr>
      </w:pPr>
    </w:p>
    <w:p w14:paraId="56466417" w14:textId="77777777" w:rsidR="00B97928" w:rsidRDefault="00B97928">
      <w:pPr>
        <w:rPr>
          <w:rFonts w:ascii="Arial" w:hAnsi="Arial" w:cs="Arial"/>
        </w:rPr>
      </w:pPr>
    </w:p>
    <w:p w14:paraId="657AA86F" w14:textId="77777777" w:rsidR="00B97928" w:rsidRDefault="00B97928">
      <w:pPr>
        <w:rPr>
          <w:rFonts w:ascii="Arial" w:hAnsi="Arial" w:cs="Arial"/>
        </w:rPr>
      </w:pPr>
    </w:p>
    <w:p w14:paraId="2D9CA19D" w14:textId="77777777" w:rsidR="00B97928" w:rsidRDefault="00B97928">
      <w:pPr>
        <w:rPr>
          <w:rFonts w:ascii="Arial" w:hAnsi="Arial" w:cs="Arial"/>
        </w:rPr>
      </w:pPr>
    </w:p>
    <w:p w14:paraId="6CF0BE1A" w14:textId="77777777" w:rsidR="00B97928" w:rsidRDefault="00B97928">
      <w:pPr>
        <w:rPr>
          <w:rFonts w:ascii="Arial" w:hAnsi="Arial" w:cs="Arial"/>
        </w:rPr>
      </w:pPr>
    </w:p>
    <w:p w14:paraId="6AB9E2E1" w14:textId="77777777" w:rsidR="00B97928" w:rsidRDefault="00B97928">
      <w:pPr>
        <w:rPr>
          <w:rFonts w:ascii="Arial" w:hAnsi="Arial" w:cs="Arial"/>
        </w:rPr>
      </w:pPr>
    </w:p>
    <w:p w14:paraId="7841C041" w14:textId="77777777" w:rsidR="00B97928" w:rsidRDefault="00B97928">
      <w:pPr>
        <w:rPr>
          <w:rFonts w:ascii="Arial" w:hAnsi="Arial" w:cs="Arial"/>
        </w:rPr>
      </w:pPr>
    </w:p>
    <w:p w14:paraId="0D797ABF" w14:textId="77777777" w:rsidR="00B97928" w:rsidRDefault="00B97928">
      <w:pPr>
        <w:rPr>
          <w:rFonts w:ascii="Arial" w:hAnsi="Arial" w:cs="Arial"/>
        </w:rPr>
      </w:pPr>
    </w:p>
    <w:p w14:paraId="0866B20E" w14:textId="77777777" w:rsidR="00B97928" w:rsidRDefault="00B97928">
      <w:pPr>
        <w:rPr>
          <w:rFonts w:ascii="Arial" w:hAnsi="Arial" w:cs="Arial"/>
        </w:rPr>
      </w:pPr>
    </w:p>
    <w:p w14:paraId="66C96D32" w14:textId="77777777" w:rsidR="00B97928" w:rsidRDefault="00B97928">
      <w:pPr>
        <w:rPr>
          <w:rFonts w:ascii="Arial" w:hAnsi="Arial" w:cs="Arial"/>
        </w:rPr>
      </w:pPr>
    </w:p>
    <w:p w14:paraId="586EF426" w14:textId="77777777" w:rsidR="00B97928" w:rsidRDefault="00B97928">
      <w:pPr>
        <w:rPr>
          <w:rFonts w:ascii="Arial" w:hAnsi="Arial" w:cs="Arial"/>
        </w:rPr>
      </w:pPr>
    </w:p>
    <w:p w14:paraId="33993F9B" w14:textId="77777777" w:rsidR="00B97928" w:rsidRDefault="00B97928">
      <w:pPr>
        <w:rPr>
          <w:rFonts w:ascii="Arial" w:hAnsi="Arial" w:cs="Arial"/>
        </w:rPr>
      </w:pPr>
    </w:p>
    <w:p w14:paraId="1929E312" w14:textId="77777777" w:rsidR="00B97928" w:rsidRDefault="00B97928">
      <w:pPr>
        <w:rPr>
          <w:rFonts w:ascii="Arial" w:hAnsi="Arial" w:cs="Arial"/>
        </w:rPr>
      </w:pPr>
    </w:p>
    <w:p w14:paraId="76F8E122" w14:textId="77777777" w:rsidR="00B97928" w:rsidRDefault="00B97928">
      <w:pPr>
        <w:rPr>
          <w:rFonts w:ascii="Arial" w:hAnsi="Arial" w:cs="Arial"/>
        </w:rPr>
      </w:pPr>
    </w:p>
    <w:p w14:paraId="44E1CD03" w14:textId="77777777" w:rsidR="00B97928" w:rsidRDefault="00B97928">
      <w:pPr>
        <w:rPr>
          <w:rFonts w:ascii="Arial" w:hAnsi="Arial" w:cs="Arial"/>
        </w:rPr>
      </w:pPr>
    </w:p>
    <w:p w14:paraId="2582C914" w14:textId="77777777" w:rsidR="00B97928" w:rsidRDefault="00B97928">
      <w:pPr>
        <w:rPr>
          <w:rFonts w:ascii="Arial" w:hAnsi="Arial" w:cs="Arial"/>
        </w:rPr>
      </w:pPr>
    </w:p>
    <w:p w14:paraId="2568C7B4" w14:textId="77777777" w:rsidR="00B97928" w:rsidRDefault="00B97928">
      <w:pPr>
        <w:rPr>
          <w:rFonts w:ascii="Arial" w:hAnsi="Arial" w:cs="Arial"/>
        </w:rPr>
      </w:pPr>
    </w:p>
    <w:p w14:paraId="3FC20A26" w14:textId="77777777" w:rsidR="00B97928" w:rsidRDefault="00B97928">
      <w:pPr>
        <w:rPr>
          <w:rFonts w:ascii="Arial" w:hAnsi="Arial" w:cs="Arial"/>
        </w:rPr>
      </w:pPr>
    </w:p>
    <w:p w14:paraId="120C31C5" w14:textId="77777777" w:rsidR="00B97928" w:rsidRDefault="00B97928">
      <w:pPr>
        <w:rPr>
          <w:rFonts w:ascii="Arial" w:hAnsi="Arial" w:cs="Arial"/>
        </w:rPr>
      </w:pPr>
    </w:p>
    <w:p w14:paraId="78DDFD7F" w14:textId="77777777" w:rsidR="00B97928" w:rsidRDefault="00B97928">
      <w:pPr>
        <w:rPr>
          <w:rFonts w:ascii="Arial" w:hAnsi="Arial" w:cs="Arial"/>
        </w:rPr>
      </w:pPr>
    </w:p>
    <w:p w14:paraId="7752F468" w14:textId="77777777" w:rsidR="00B97928" w:rsidRDefault="00B97928">
      <w:pPr>
        <w:rPr>
          <w:rFonts w:ascii="Arial" w:hAnsi="Arial" w:cs="Arial"/>
        </w:rPr>
      </w:pPr>
    </w:p>
    <w:p w14:paraId="447742FA" w14:textId="77777777" w:rsidR="00B97928" w:rsidRDefault="00B97928">
      <w:pPr>
        <w:rPr>
          <w:rFonts w:ascii="Arial" w:hAnsi="Arial" w:cs="Arial"/>
        </w:rPr>
      </w:pPr>
    </w:p>
    <w:p w14:paraId="2E513AC7" w14:textId="77777777" w:rsidR="00B97928" w:rsidRDefault="00B97928">
      <w:pPr>
        <w:rPr>
          <w:rFonts w:ascii="Arial" w:hAnsi="Arial" w:cs="Arial"/>
        </w:rPr>
      </w:pPr>
    </w:p>
    <w:p w14:paraId="7D48A27B" w14:textId="77777777" w:rsidR="00B97928" w:rsidRDefault="00B97928">
      <w:pPr>
        <w:rPr>
          <w:rFonts w:ascii="Arial" w:hAnsi="Arial" w:cs="Arial"/>
        </w:rPr>
      </w:pPr>
    </w:p>
    <w:p w14:paraId="668E3FBE" w14:textId="77777777" w:rsidR="00B97928" w:rsidRDefault="00B97928">
      <w:pPr>
        <w:rPr>
          <w:rFonts w:ascii="Arial" w:hAnsi="Arial" w:cs="Arial"/>
        </w:rPr>
      </w:pPr>
    </w:p>
    <w:p w14:paraId="7A304DFC" w14:textId="77777777" w:rsidR="00B97928" w:rsidRDefault="00B97928">
      <w:pPr>
        <w:rPr>
          <w:rFonts w:ascii="Arial" w:hAnsi="Arial" w:cs="Arial"/>
        </w:rPr>
      </w:pPr>
    </w:p>
    <w:p w14:paraId="2A2CC751" w14:textId="77777777" w:rsidR="00B97928" w:rsidRDefault="00B97928">
      <w:pPr>
        <w:rPr>
          <w:rFonts w:ascii="Arial" w:hAnsi="Arial" w:cs="Arial"/>
        </w:rPr>
      </w:pPr>
    </w:p>
    <w:p w14:paraId="12E73131" w14:textId="77777777" w:rsidR="00B97928" w:rsidRDefault="00B97928">
      <w:pPr>
        <w:rPr>
          <w:rFonts w:ascii="Arial" w:hAnsi="Arial" w:cs="Arial"/>
        </w:rPr>
      </w:pPr>
    </w:p>
    <w:p w14:paraId="4A56D235" w14:textId="77777777" w:rsidR="00B97928" w:rsidRDefault="00B97928">
      <w:pPr>
        <w:rPr>
          <w:rFonts w:ascii="Arial" w:hAnsi="Arial" w:cs="Arial"/>
        </w:rPr>
      </w:pPr>
    </w:p>
    <w:p w14:paraId="7FCB17F0" w14:textId="77777777" w:rsidR="00B97928" w:rsidRDefault="00B97928">
      <w:pPr>
        <w:rPr>
          <w:rFonts w:ascii="Arial" w:hAnsi="Arial" w:cs="Arial"/>
        </w:rPr>
      </w:pPr>
    </w:p>
    <w:p w14:paraId="2D62467A" w14:textId="77777777" w:rsidR="00B97928" w:rsidRDefault="00B97928">
      <w:pPr>
        <w:rPr>
          <w:rFonts w:ascii="Arial" w:hAnsi="Arial" w:cs="Arial"/>
        </w:rPr>
      </w:pPr>
    </w:p>
    <w:sectPr w:rsidR="00B979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7FA"/>
    <w:rsid w:val="001233E8"/>
    <w:rsid w:val="0028124D"/>
    <w:rsid w:val="00347ECF"/>
    <w:rsid w:val="00376B39"/>
    <w:rsid w:val="004E09DD"/>
    <w:rsid w:val="007244F0"/>
    <w:rsid w:val="00830A4D"/>
    <w:rsid w:val="008427FA"/>
    <w:rsid w:val="008953CF"/>
    <w:rsid w:val="009A582D"/>
    <w:rsid w:val="009D79DB"/>
    <w:rsid w:val="00A85759"/>
    <w:rsid w:val="00B97928"/>
    <w:rsid w:val="00BC73E4"/>
    <w:rsid w:val="00CE7318"/>
    <w:rsid w:val="00D56368"/>
    <w:rsid w:val="00DD0D64"/>
    <w:rsid w:val="18511F7B"/>
    <w:rsid w:val="2EBC6814"/>
    <w:rsid w:val="33A367C7"/>
    <w:rsid w:val="35F27BA6"/>
    <w:rsid w:val="4EC7464B"/>
    <w:rsid w:val="61CD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56557"/>
  <w15:docId w15:val="{217BCC73-6B0A-4FDE-9954-8DA8391C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tlas Grotesk Regular" w:eastAsiaTheme="minorHAnsi" w:hAnsi="Atlas Grotesk Regular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Pr>
      <w:sz w:val="24"/>
    </w:r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actReview xmlns="http://schemas.wps.cn/vas-ai-hub/contract-review">
  <reviewItems/>
  <config/>
</contractReview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96C1A2-D050-4DFC-9565-F9B532F2F9E7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8FF6F454-C039-45A6-8FA4-841E1999315C}"/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Kelly</dc:creator>
  <cp:lastModifiedBy>Tanya Yandall</cp:lastModifiedBy>
  <cp:revision>3</cp:revision>
  <dcterms:created xsi:type="dcterms:W3CDTF">2026-03-18T01:48:00Z</dcterms:created>
  <dcterms:modified xsi:type="dcterms:W3CDTF">2026-03-18T01:48:00Z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KSOTemplateDocerSaveRecord">
    <vt:lpwstr>eyJoZGlkIjoiZTJkNTgzNTdjOWM5ZjI5OGYzZTljMjNkZTg0ZWU5ZWEiLCJ1c2VySWQiOiIzMDk3MjIyMjYifQ==</vt:lpwstr>
  </property>
  <property fmtid="{D5CDD505-2E9C-101B-9397-08002B2CF9AE}" pid="5" name="KSOProductBuildVer">
    <vt:lpwstr>2052-12.1.0.25225</vt:lpwstr>
  </property>
  <property fmtid="{D5CDD505-2E9C-101B-9397-08002B2CF9AE}" pid="6" name="ICV">
    <vt:lpwstr>382D2BEB358F4BD0BDFD325D7F1DAB77_13</vt:lpwstr>
  </property>
</Properties>
</file>