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58CEF" w14:textId="77777777" w:rsidR="00911F9E" w:rsidRPr="00911F9E" w:rsidRDefault="00911F9E" w:rsidP="00D13F75">
      <w:pPr>
        <w:jc w:val="both"/>
        <w:rPr>
          <w:rFonts w:ascii="Arial" w:hAnsi="Arial" w:cs="Arial"/>
        </w:rPr>
      </w:pPr>
    </w:p>
    <w:p w14:paraId="2897A78C" w14:textId="6D088B82" w:rsidR="00743AD5" w:rsidRPr="00D13F75" w:rsidRDefault="00743AD5" w:rsidP="00D13F75">
      <w:pPr>
        <w:jc w:val="both"/>
        <w:rPr>
          <w:rFonts w:ascii="Arial" w:hAnsi="Arial" w:cs="Arial"/>
          <w:b/>
          <w:bCs/>
          <w:lang w:val="en-US"/>
        </w:rPr>
      </w:pPr>
      <w:r w:rsidRPr="00D13F75">
        <w:rPr>
          <w:rFonts w:ascii="Arial" w:hAnsi="Arial" w:cs="Arial"/>
          <w:b/>
          <w:bCs/>
          <w:lang w:val="en-US"/>
        </w:rPr>
        <w:t>Detecting adverse glyc</w:t>
      </w:r>
      <w:r w:rsidR="00262941" w:rsidRPr="00D13F75">
        <w:rPr>
          <w:rFonts w:ascii="Arial" w:hAnsi="Arial" w:cs="Arial"/>
          <w:b/>
          <w:bCs/>
          <w:lang w:val="en-US"/>
        </w:rPr>
        <w:t>a</w:t>
      </w:r>
      <w:r w:rsidRPr="00D13F75">
        <w:rPr>
          <w:rFonts w:ascii="Arial" w:hAnsi="Arial" w:cs="Arial"/>
          <w:b/>
          <w:bCs/>
          <w:lang w:val="en-US"/>
        </w:rPr>
        <w:t>emic events in hospital with continuous glucose monitoring versus point-of-care testing in people with type 1 diabetes</w:t>
      </w:r>
    </w:p>
    <w:p w14:paraId="265C7D9B" w14:textId="77777777" w:rsidR="008427FA" w:rsidRDefault="008427FA" w:rsidP="00D13F75">
      <w:pPr>
        <w:jc w:val="both"/>
        <w:rPr>
          <w:rFonts w:ascii="Arial" w:hAnsi="Arial" w:cs="Arial"/>
        </w:rPr>
      </w:pPr>
    </w:p>
    <w:p w14:paraId="7CFDC998" w14:textId="77777777" w:rsidR="009A797F" w:rsidRPr="00911F9E" w:rsidRDefault="009A797F" w:rsidP="00D13F75">
      <w:pPr>
        <w:jc w:val="both"/>
        <w:rPr>
          <w:rFonts w:ascii="Arial" w:hAnsi="Arial" w:cs="Arial"/>
          <w:b/>
          <w:bCs/>
          <w:lang w:val="en-US"/>
        </w:rPr>
      </w:pPr>
      <w:r w:rsidRPr="00911F9E">
        <w:rPr>
          <w:rFonts w:ascii="Arial" w:hAnsi="Arial" w:cs="Arial"/>
          <w:b/>
          <w:bCs/>
          <w:lang w:val="en-US"/>
        </w:rPr>
        <w:t>Introduction</w:t>
      </w:r>
    </w:p>
    <w:p w14:paraId="738B14A6" w14:textId="673BCC94" w:rsidR="009A797F" w:rsidRPr="00911F9E" w:rsidRDefault="009A797F" w:rsidP="00D13F75">
      <w:pPr>
        <w:jc w:val="both"/>
        <w:rPr>
          <w:rFonts w:ascii="Arial" w:hAnsi="Arial" w:cs="Arial"/>
          <w:lang w:val="en-US"/>
        </w:rPr>
      </w:pPr>
      <w:r w:rsidRPr="00911F9E">
        <w:rPr>
          <w:rFonts w:ascii="Arial" w:hAnsi="Arial" w:cs="Arial"/>
          <w:lang w:val="en-US"/>
        </w:rPr>
        <w:t>In people with type 1 diabetes (T1D) admitted to hospital, adverse glyc</w:t>
      </w:r>
      <w:r w:rsidR="00262941">
        <w:rPr>
          <w:rFonts w:ascii="Arial" w:hAnsi="Arial" w:cs="Arial"/>
          <w:lang w:val="en-US"/>
        </w:rPr>
        <w:t>a</w:t>
      </w:r>
      <w:r w:rsidRPr="00911F9E">
        <w:rPr>
          <w:rFonts w:ascii="Arial" w:hAnsi="Arial" w:cs="Arial"/>
          <w:lang w:val="en-US"/>
        </w:rPr>
        <w:t>emic events (AGE), comprising both hypoglyc</w:t>
      </w:r>
      <w:r w:rsidR="00262941">
        <w:rPr>
          <w:rFonts w:ascii="Arial" w:hAnsi="Arial" w:cs="Arial"/>
          <w:lang w:val="en-US"/>
        </w:rPr>
        <w:t>a</w:t>
      </w:r>
      <w:r w:rsidRPr="00911F9E">
        <w:rPr>
          <w:rFonts w:ascii="Arial" w:hAnsi="Arial" w:cs="Arial"/>
          <w:lang w:val="en-US"/>
        </w:rPr>
        <w:t>emia and hyperglyc</w:t>
      </w:r>
      <w:r w:rsidR="00262941">
        <w:rPr>
          <w:rFonts w:ascii="Arial" w:hAnsi="Arial" w:cs="Arial"/>
          <w:lang w:val="en-US"/>
        </w:rPr>
        <w:t>a</w:t>
      </w:r>
      <w:r w:rsidRPr="00911F9E">
        <w:rPr>
          <w:rFonts w:ascii="Arial" w:hAnsi="Arial" w:cs="Arial"/>
          <w:lang w:val="en-US"/>
        </w:rPr>
        <w:t xml:space="preserve">emia, are common and bestow risk for adverse clinical outcomes. People with T1D are increasingly using continuous glucose monitoring (CGM), and ongoing CGM use during admission may provide an opportunity for greater detection of AGE. </w:t>
      </w:r>
    </w:p>
    <w:p w14:paraId="34E1410D" w14:textId="77777777" w:rsidR="009A797F" w:rsidRPr="00911F9E" w:rsidRDefault="009A797F" w:rsidP="00D13F75">
      <w:pPr>
        <w:jc w:val="both"/>
        <w:rPr>
          <w:rFonts w:ascii="Arial" w:hAnsi="Arial" w:cs="Arial"/>
          <w:b/>
          <w:bCs/>
          <w:lang w:val="en-US"/>
        </w:rPr>
      </w:pPr>
      <w:r w:rsidRPr="00911F9E">
        <w:rPr>
          <w:rFonts w:ascii="Arial" w:hAnsi="Arial" w:cs="Arial"/>
          <w:b/>
          <w:bCs/>
          <w:lang w:val="en-US"/>
        </w:rPr>
        <w:t>Aim</w:t>
      </w:r>
    </w:p>
    <w:p w14:paraId="2F2BC694" w14:textId="20A3542F" w:rsidR="009A797F" w:rsidRPr="00911F9E" w:rsidRDefault="009A797F" w:rsidP="00D13F75">
      <w:pPr>
        <w:jc w:val="both"/>
        <w:rPr>
          <w:rFonts w:ascii="Arial" w:hAnsi="Arial" w:cs="Arial"/>
          <w:lang w:val="en-US"/>
        </w:rPr>
      </w:pPr>
      <w:r w:rsidRPr="00911F9E">
        <w:rPr>
          <w:rFonts w:ascii="Arial" w:hAnsi="Arial" w:cs="Arial"/>
          <w:lang w:val="en-US"/>
        </w:rPr>
        <w:t>We aimed to investigate AGE frequency in hospital, based on CGM versus point-of-care (POC) blood glucose measures.</w:t>
      </w:r>
    </w:p>
    <w:p w14:paraId="3D6DE712" w14:textId="77777777" w:rsidR="009A797F" w:rsidRPr="00911F9E" w:rsidRDefault="009A797F" w:rsidP="00D13F75">
      <w:pPr>
        <w:jc w:val="both"/>
        <w:rPr>
          <w:rFonts w:ascii="Arial" w:hAnsi="Arial" w:cs="Arial"/>
          <w:b/>
          <w:bCs/>
          <w:lang w:val="en-US"/>
        </w:rPr>
      </w:pPr>
      <w:r w:rsidRPr="00911F9E">
        <w:rPr>
          <w:rFonts w:ascii="Arial" w:hAnsi="Arial" w:cs="Arial"/>
          <w:b/>
          <w:bCs/>
          <w:lang w:val="en-US"/>
        </w:rPr>
        <w:t>Methods</w:t>
      </w:r>
    </w:p>
    <w:p w14:paraId="3C466612" w14:textId="370B5935" w:rsidR="009A797F" w:rsidRPr="00911F9E" w:rsidRDefault="009A797F" w:rsidP="00D13F75">
      <w:pPr>
        <w:jc w:val="both"/>
        <w:rPr>
          <w:rFonts w:ascii="Arial" w:hAnsi="Arial" w:cs="Arial"/>
          <w:lang w:val="en-US"/>
        </w:rPr>
      </w:pPr>
      <w:r w:rsidRPr="00911F9E">
        <w:rPr>
          <w:rFonts w:ascii="Arial" w:hAnsi="Arial" w:cs="Arial"/>
          <w:lang w:val="en-US"/>
        </w:rPr>
        <w:t>In this real-world multi-centr</w:t>
      </w:r>
      <w:r w:rsidR="00577428">
        <w:rPr>
          <w:rFonts w:ascii="Arial" w:hAnsi="Arial" w:cs="Arial"/>
          <w:lang w:val="en-US"/>
        </w:rPr>
        <w:t>e</w:t>
      </w:r>
      <w:r w:rsidRPr="00911F9E">
        <w:rPr>
          <w:rFonts w:ascii="Arial" w:hAnsi="Arial" w:cs="Arial"/>
          <w:lang w:val="en-US"/>
        </w:rPr>
        <w:t xml:space="preserve"> retrospective analysis of non-critically ill hospitali</w:t>
      </w:r>
      <w:r w:rsidR="00577428">
        <w:rPr>
          <w:rFonts w:ascii="Arial" w:hAnsi="Arial" w:cs="Arial"/>
          <w:lang w:val="en-US"/>
        </w:rPr>
        <w:t>s</w:t>
      </w:r>
      <w:r w:rsidRPr="00911F9E">
        <w:rPr>
          <w:rFonts w:ascii="Arial" w:hAnsi="Arial" w:cs="Arial"/>
          <w:lang w:val="en-US"/>
        </w:rPr>
        <w:t>ed adults with T1D who continued wearing their unmasked CGM (FreeStyle Libre 1/2, Dexcom G5/G6, Medtronic Guardian 3) during admission and received standard ward-based POC testing, we compared CGM- and POC-based AGE detection. Hypoglyc</w:t>
      </w:r>
      <w:r w:rsidR="00577428">
        <w:rPr>
          <w:rFonts w:ascii="Arial" w:hAnsi="Arial" w:cs="Arial"/>
          <w:lang w:val="en-US"/>
        </w:rPr>
        <w:t>a</w:t>
      </w:r>
      <w:r w:rsidRPr="00911F9E">
        <w:rPr>
          <w:rFonts w:ascii="Arial" w:hAnsi="Arial" w:cs="Arial"/>
          <w:lang w:val="en-US"/>
        </w:rPr>
        <w:t>emia and hyperglyc</w:t>
      </w:r>
      <w:r w:rsidR="00577428">
        <w:rPr>
          <w:rFonts w:ascii="Arial" w:hAnsi="Arial" w:cs="Arial"/>
          <w:lang w:val="en-US"/>
        </w:rPr>
        <w:t>a</w:t>
      </w:r>
      <w:r w:rsidRPr="00911F9E">
        <w:rPr>
          <w:rFonts w:ascii="Arial" w:hAnsi="Arial" w:cs="Arial"/>
          <w:lang w:val="en-US"/>
        </w:rPr>
        <w:t>emia were defined as glucose &lt;</w:t>
      </w:r>
      <w:r w:rsidR="00217AB4">
        <w:rPr>
          <w:rFonts w:ascii="Arial" w:hAnsi="Arial" w:cs="Arial"/>
          <w:lang w:val="en-US"/>
        </w:rPr>
        <w:t>3.9 mmol/L</w:t>
      </w:r>
      <w:r w:rsidRPr="00911F9E">
        <w:rPr>
          <w:rFonts w:ascii="Arial" w:hAnsi="Arial" w:cs="Arial"/>
          <w:lang w:val="en-US"/>
        </w:rPr>
        <w:t xml:space="preserve"> and &gt;10 </w:t>
      </w:r>
      <w:r w:rsidR="00217AB4">
        <w:rPr>
          <w:rFonts w:ascii="Arial" w:hAnsi="Arial" w:cs="Arial"/>
          <w:lang w:val="en-US"/>
        </w:rPr>
        <w:t>mmol/L</w:t>
      </w:r>
      <w:r w:rsidRPr="00911F9E">
        <w:rPr>
          <w:rFonts w:ascii="Arial" w:hAnsi="Arial" w:cs="Arial"/>
          <w:lang w:val="en-US"/>
        </w:rPr>
        <w:t xml:space="preserve">, respectively. CGM-detected AGE required &gt;15 minutes exceeding threshold criteria; POC-detected AGE was defined if any POC glucose exceeded threshold criteria. </w:t>
      </w:r>
    </w:p>
    <w:p w14:paraId="73C693C8" w14:textId="77777777" w:rsidR="009A797F" w:rsidRPr="00911F9E" w:rsidRDefault="009A797F" w:rsidP="00D13F75">
      <w:pPr>
        <w:jc w:val="both"/>
        <w:rPr>
          <w:rFonts w:ascii="Arial" w:hAnsi="Arial" w:cs="Arial"/>
          <w:b/>
          <w:bCs/>
          <w:lang w:val="en-US"/>
        </w:rPr>
      </w:pPr>
      <w:r w:rsidRPr="00911F9E">
        <w:rPr>
          <w:rFonts w:ascii="Arial" w:hAnsi="Arial" w:cs="Arial"/>
          <w:b/>
          <w:bCs/>
          <w:lang w:val="en-US"/>
        </w:rPr>
        <w:t>Results</w:t>
      </w:r>
    </w:p>
    <w:p w14:paraId="2420584B" w14:textId="5F22C5A0" w:rsidR="009A797F" w:rsidRPr="00911F9E" w:rsidRDefault="009A797F" w:rsidP="00D13F75">
      <w:pPr>
        <w:jc w:val="both"/>
        <w:rPr>
          <w:rFonts w:ascii="Arial" w:hAnsi="Arial" w:cs="Arial"/>
          <w:lang w:val="en-US"/>
        </w:rPr>
      </w:pPr>
      <w:r w:rsidRPr="00911F9E">
        <w:rPr>
          <w:rFonts w:ascii="Arial" w:hAnsi="Arial" w:cs="Arial"/>
          <w:lang w:val="en-US"/>
        </w:rPr>
        <w:t>In 253 admissions, 127,837 CGM and 5,508 POC glucose measures were analyzed, yielding 1,391 CGM-detected hyperglyc</w:t>
      </w:r>
      <w:r w:rsidR="00577428">
        <w:rPr>
          <w:rFonts w:ascii="Arial" w:hAnsi="Arial" w:cs="Arial"/>
          <w:lang w:val="en-US"/>
        </w:rPr>
        <w:t>a</w:t>
      </w:r>
      <w:r w:rsidRPr="00911F9E">
        <w:rPr>
          <w:rFonts w:ascii="Arial" w:hAnsi="Arial" w:cs="Arial"/>
          <w:lang w:val="en-US"/>
        </w:rPr>
        <w:t>emia AGE and 317 CGM-detected hypoglyc</w:t>
      </w:r>
      <w:r w:rsidR="00577428">
        <w:rPr>
          <w:rFonts w:ascii="Arial" w:hAnsi="Arial" w:cs="Arial"/>
          <w:lang w:val="en-US"/>
        </w:rPr>
        <w:t>a</w:t>
      </w:r>
      <w:r w:rsidRPr="00911F9E">
        <w:rPr>
          <w:rFonts w:ascii="Arial" w:hAnsi="Arial" w:cs="Arial"/>
          <w:lang w:val="en-US"/>
        </w:rPr>
        <w:t>emia AGE.</w:t>
      </w:r>
    </w:p>
    <w:p w14:paraId="07E7F9CF" w14:textId="747399A3" w:rsidR="009A797F" w:rsidRPr="00911F9E" w:rsidRDefault="009A797F" w:rsidP="00D13F75">
      <w:pPr>
        <w:jc w:val="both"/>
        <w:rPr>
          <w:rFonts w:ascii="Arial" w:hAnsi="Arial" w:cs="Arial"/>
          <w:lang w:val="en-US"/>
        </w:rPr>
      </w:pPr>
      <w:r w:rsidRPr="00911F9E">
        <w:rPr>
          <w:rFonts w:ascii="Arial" w:hAnsi="Arial" w:cs="Arial"/>
          <w:lang w:val="en-US"/>
        </w:rPr>
        <w:t>For CGM-detected AGE with a concurrent POC AGE evident, CGM detected hyperglyc</w:t>
      </w:r>
      <w:r w:rsidR="00577428">
        <w:rPr>
          <w:rFonts w:ascii="Arial" w:hAnsi="Arial" w:cs="Arial"/>
          <w:lang w:val="en-US"/>
        </w:rPr>
        <w:t>a</w:t>
      </w:r>
      <w:r w:rsidRPr="00911F9E">
        <w:rPr>
          <w:rFonts w:ascii="Arial" w:hAnsi="Arial" w:cs="Arial"/>
          <w:lang w:val="en-US"/>
        </w:rPr>
        <w:t>emia a median [IQR] 70 minutes [22,166] before POC and at lower glucose concentrations (</w:t>
      </w:r>
      <w:r w:rsidR="00F51C7E">
        <w:rPr>
          <w:rFonts w:ascii="Arial" w:hAnsi="Arial" w:cs="Arial"/>
          <w:lang w:val="en-US"/>
        </w:rPr>
        <w:t>10.4 vs 12.4 mmol/L</w:t>
      </w:r>
      <w:r w:rsidRPr="00911F9E">
        <w:rPr>
          <w:rFonts w:ascii="Arial" w:hAnsi="Arial" w:cs="Arial"/>
          <w:lang w:val="en-US"/>
        </w:rPr>
        <w:t>, p&lt;0.0001); and detected hypoglyc</w:t>
      </w:r>
      <w:r w:rsidR="00577428">
        <w:rPr>
          <w:rFonts w:ascii="Arial" w:hAnsi="Arial" w:cs="Arial"/>
          <w:lang w:val="en-US"/>
        </w:rPr>
        <w:t>a</w:t>
      </w:r>
      <w:r w:rsidRPr="00911F9E">
        <w:rPr>
          <w:rFonts w:ascii="Arial" w:hAnsi="Arial" w:cs="Arial"/>
          <w:lang w:val="en-US"/>
        </w:rPr>
        <w:t>emia a median [IQR] 38 minutes [14,65] before POC and at higher glucose concentrations (</w:t>
      </w:r>
      <w:r w:rsidR="00F51C7E">
        <w:rPr>
          <w:rFonts w:ascii="Arial" w:hAnsi="Arial" w:cs="Arial"/>
          <w:lang w:val="en-US"/>
        </w:rPr>
        <w:t>3.7 vs 3.1 mmol/L</w:t>
      </w:r>
      <w:r w:rsidRPr="00911F9E">
        <w:rPr>
          <w:rFonts w:ascii="Arial" w:hAnsi="Arial" w:cs="Arial"/>
          <w:lang w:val="en-US"/>
        </w:rPr>
        <w:t>, p&lt;0.0001).</w:t>
      </w:r>
    </w:p>
    <w:p w14:paraId="69673564" w14:textId="68128730" w:rsidR="009A797F" w:rsidRPr="00911F9E" w:rsidRDefault="009A797F" w:rsidP="00D13F75">
      <w:pPr>
        <w:jc w:val="both"/>
        <w:rPr>
          <w:rFonts w:ascii="Arial" w:hAnsi="Arial" w:cs="Arial"/>
          <w:lang w:val="en-US"/>
        </w:rPr>
      </w:pPr>
      <w:r w:rsidRPr="00911F9E">
        <w:rPr>
          <w:rFonts w:ascii="Arial" w:hAnsi="Arial" w:cs="Arial"/>
          <w:lang w:val="en-US"/>
        </w:rPr>
        <w:t>For CGM-detected hyperglyc</w:t>
      </w:r>
      <w:r w:rsidR="00577428">
        <w:rPr>
          <w:rFonts w:ascii="Arial" w:hAnsi="Arial" w:cs="Arial"/>
          <w:lang w:val="en-US"/>
        </w:rPr>
        <w:t>a</w:t>
      </w:r>
      <w:r w:rsidRPr="00911F9E">
        <w:rPr>
          <w:rFonts w:ascii="Arial" w:hAnsi="Arial" w:cs="Arial"/>
          <w:lang w:val="en-US"/>
        </w:rPr>
        <w:t>emia and hypoglyc</w:t>
      </w:r>
      <w:r w:rsidR="00577428">
        <w:rPr>
          <w:rFonts w:ascii="Arial" w:hAnsi="Arial" w:cs="Arial"/>
          <w:lang w:val="en-US"/>
        </w:rPr>
        <w:t>a</w:t>
      </w:r>
      <w:r w:rsidRPr="00911F9E">
        <w:rPr>
          <w:rFonts w:ascii="Arial" w:hAnsi="Arial" w:cs="Arial"/>
          <w:lang w:val="en-US"/>
        </w:rPr>
        <w:t>emia AGE, 23% and 25% respectively, were not detected by POC. Only 3% of POC-detected AGE were not detected by CGM.</w:t>
      </w:r>
    </w:p>
    <w:p w14:paraId="37782A33" w14:textId="77777777" w:rsidR="009A797F" w:rsidRPr="00911F9E" w:rsidRDefault="009A797F" w:rsidP="00D13F75">
      <w:pPr>
        <w:jc w:val="both"/>
        <w:rPr>
          <w:rFonts w:ascii="Arial" w:hAnsi="Arial" w:cs="Arial"/>
          <w:b/>
          <w:bCs/>
          <w:lang w:val="en-US"/>
        </w:rPr>
      </w:pPr>
      <w:r w:rsidRPr="00911F9E">
        <w:rPr>
          <w:rFonts w:ascii="Arial" w:hAnsi="Arial" w:cs="Arial"/>
          <w:b/>
          <w:bCs/>
          <w:lang w:val="en-US"/>
        </w:rPr>
        <w:t>Conclusion</w:t>
      </w:r>
    </w:p>
    <w:p w14:paraId="17F7BD72" w14:textId="5C68B809" w:rsidR="009A797F" w:rsidRPr="00911F9E" w:rsidRDefault="009A797F" w:rsidP="00D13F75">
      <w:pPr>
        <w:jc w:val="both"/>
        <w:rPr>
          <w:rFonts w:ascii="Arial" w:hAnsi="Arial" w:cs="Arial"/>
          <w:lang w:val="en-US"/>
        </w:rPr>
      </w:pPr>
      <w:r w:rsidRPr="00911F9E">
        <w:rPr>
          <w:rFonts w:ascii="Arial" w:hAnsi="Arial" w:cs="Arial"/>
          <w:lang w:val="en-US"/>
        </w:rPr>
        <w:t>Almost all AGE in hospital were detected by CGM, with few events detected by POC blood glucose monitoring alone. Compared to POC, CGM detected AGE at an earlier timepoint, with a lesser glyc</w:t>
      </w:r>
      <w:r w:rsidR="00090CC4">
        <w:rPr>
          <w:rFonts w:ascii="Arial" w:hAnsi="Arial" w:cs="Arial"/>
          <w:lang w:val="en-US"/>
        </w:rPr>
        <w:t>a</w:t>
      </w:r>
      <w:r w:rsidRPr="00911F9E">
        <w:rPr>
          <w:rFonts w:ascii="Arial" w:hAnsi="Arial" w:cs="Arial"/>
          <w:lang w:val="en-US"/>
        </w:rPr>
        <w:t xml:space="preserve">emic extreme. Detecting AGE in hospital appears to be superior with CGM compared to POC glucose alone in people with T1D. </w:t>
      </w:r>
    </w:p>
    <w:p w14:paraId="6A91FA94" w14:textId="77777777" w:rsidR="008427FA" w:rsidRPr="00911F9E" w:rsidRDefault="008427FA" w:rsidP="00D13F75">
      <w:pPr>
        <w:jc w:val="both"/>
        <w:rPr>
          <w:rFonts w:ascii="Arial" w:hAnsi="Arial" w:cs="Arial"/>
        </w:rPr>
      </w:pPr>
    </w:p>
    <w:p w14:paraId="7D46DD6C" w14:textId="77777777" w:rsidR="008427FA" w:rsidRPr="00911F9E" w:rsidRDefault="008427FA" w:rsidP="00D13F75">
      <w:pPr>
        <w:jc w:val="both"/>
        <w:rPr>
          <w:rFonts w:ascii="Arial" w:hAnsi="Arial" w:cs="Arial"/>
        </w:rPr>
      </w:pPr>
    </w:p>
    <w:p w14:paraId="22A97A63" w14:textId="77777777" w:rsidR="008427FA" w:rsidRPr="00911F9E" w:rsidRDefault="008427FA" w:rsidP="00D13F75">
      <w:pPr>
        <w:jc w:val="both"/>
        <w:rPr>
          <w:rFonts w:ascii="Arial" w:hAnsi="Arial" w:cs="Arial"/>
        </w:rPr>
      </w:pPr>
    </w:p>
    <w:p w14:paraId="484FA34F" w14:textId="77777777" w:rsidR="00830A4D" w:rsidRPr="00911F9E" w:rsidRDefault="00830A4D" w:rsidP="00D13F75">
      <w:pPr>
        <w:jc w:val="both"/>
        <w:rPr>
          <w:rFonts w:ascii="Arial" w:hAnsi="Arial" w:cs="Arial"/>
        </w:rPr>
      </w:pPr>
    </w:p>
    <w:sectPr w:rsidR="00830A4D" w:rsidRPr="00911F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FA"/>
    <w:rsid w:val="00090CC4"/>
    <w:rsid w:val="00111EB1"/>
    <w:rsid w:val="00217AB4"/>
    <w:rsid w:val="00262941"/>
    <w:rsid w:val="0028124D"/>
    <w:rsid w:val="00376B39"/>
    <w:rsid w:val="004E09DD"/>
    <w:rsid w:val="00577428"/>
    <w:rsid w:val="0068491A"/>
    <w:rsid w:val="00694B65"/>
    <w:rsid w:val="007244F0"/>
    <w:rsid w:val="00743AD5"/>
    <w:rsid w:val="00782FAB"/>
    <w:rsid w:val="00830A4D"/>
    <w:rsid w:val="008427FA"/>
    <w:rsid w:val="008953CF"/>
    <w:rsid w:val="00911F9E"/>
    <w:rsid w:val="009A582D"/>
    <w:rsid w:val="009A797F"/>
    <w:rsid w:val="009D79DB"/>
    <w:rsid w:val="00A85759"/>
    <w:rsid w:val="00BC73E4"/>
    <w:rsid w:val="00C70F14"/>
    <w:rsid w:val="00D0193B"/>
    <w:rsid w:val="00D13F75"/>
    <w:rsid w:val="00D56368"/>
    <w:rsid w:val="00DD0D64"/>
    <w:rsid w:val="00F51C7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AEC6A"/>
  <w15:chartTrackingRefBased/>
  <w15:docId w15:val="{848FD58E-9544-4247-B3C9-43824602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tlas Grotesk Regular" w:eastAsiaTheme="minorHAnsi" w:hAnsi="Atlas Grotesk Regular"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4BC9F3-4EA3-4246-B2B4-D9D9956BFC59}">
  <ds:schemaRefs>
    <ds:schemaRef ds:uri="http://schemas.microsoft.com/sharepoint/v3/contenttype/forms"/>
  </ds:schemaRefs>
</ds:datastoreItem>
</file>

<file path=customXml/itemProps2.xml><?xml version="1.0" encoding="utf-8"?>
<ds:datastoreItem xmlns:ds="http://schemas.openxmlformats.org/officeDocument/2006/customXml" ds:itemID="{A43B2FA3-0FF8-4077-8934-B30CFC89774E}">
  <ds:schemaRefs>
    <ds:schemaRef ds:uri="http://schemas.microsoft.com/office/2006/documentManagement/types"/>
    <ds:schemaRef ds:uri="http://schemas.microsoft.com/office/infopath/2007/PartnerControls"/>
    <ds:schemaRef ds:uri="http://purl.org/dc/dcmitype/"/>
    <ds:schemaRef ds:uri="cab52c9b-ab33-4221-8af9-54f8f2b86a80"/>
    <ds:schemaRef ds:uri="http://schemas.openxmlformats.org/package/2006/metadata/core-properties"/>
    <ds:schemaRef ds:uri="http://purl.org/dc/elements/1.1/"/>
    <ds:schemaRef ds:uri="9c8a2b7b-0bee-4c48-b0a6-23db8982d3bc"/>
    <ds:schemaRef ds:uri="6911e96c-4cc4-42d5-8e43-f93924cf6a05"/>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B2A42EB5-176C-4368-AA0C-5DC6DC1D2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Kelly</dc:creator>
  <cp:keywords/>
  <dc:description/>
  <cp:lastModifiedBy>Tanya Yandall</cp:lastModifiedBy>
  <cp:revision>3</cp:revision>
  <dcterms:created xsi:type="dcterms:W3CDTF">2025-05-24T02:14:00Z</dcterms:created>
  <dcterms:modified xsi:type="dcterms:W3CDTF">2025-05-24T02:15:00Z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