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727BAD6D" w14:textId="1439C0BD" w:rsidR="00EA2CB8" w:rsidRPr="00EA2CB8" w:rsidRDefault="00EA2CB8" w:rsidP="001A397C">
            <w:pPr>
              <w:tabs>
                <w:tab w:val="left" w:pos="3386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A2CB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76776AF" w14:textId="77777777" w:rsidR="00C8423A" w:rsidRDefault="001A397C" w:rsidP="001A397C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397C">
              <w:rPr>
                <w:rFonts w:ascii="Arial" w:hAnsi="Arial" w:cs="Arial"/>
                <w:b/>
                <w:sz w:val="22"/>
                <w:szCs w:val="22"/>
              </w:rPr>
              <w:t>Impact of urban development on the transformation of socio-ecological production landscapes: A case study of low-elevation mountain areas in the Taipei Metropolitan Area</w:t>
            </w:r>
          </w:p>
          <w:p w14:paraId="3F7D1534" w14:textId="32A4AC88" w:rsidR="00EA2CB8" w:rsidRPr="009C75AE" w:rsidRDefault="00EA2CB8" w:rsidP="001A397C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2ECEF32A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6CC0D9AF" w:rsidR="0065012F" w:rsidRPr="001A397C" w:rsidRDefault="0065012F" w:rsidP="00FE3D1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397C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1A397C" w:rsidRPr="001A397C">
              <w:rPr>
                <w:rFonts w:ascii="Arial" w:eastAsiaTheme="minorEastAsia" w:hAnsi="Arial" w:cs="Arial"/>
                <w:b/>
                <w:sz w:val="22"/>
                <w:szCs w:val="22"/>
                <w:lang w:eastAsia="zh-TW"/>
              </w:rPr>
              <w:t xml:space="preserve"> and </w:t>
            </w:r>
            <w:r w:rsidR="001A397C" w:rsidRPr="001A397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A397C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2954FA55" w14:textId="190A2AE2" w:rsidR="00FE3D13" w:rsidRDefault="00A569A7" w:rsidP="00FE3D13">
            <w:pPr>
              <w:jc w:val="both"/>
            </w:pPr>
            <w:r w:rsidRPr="00A569A7">
              <w:t>The Asia-Pacific region is increasingly exposed and vulnerable to climate change and weather-related extremes due to rapid urbanization and overdevelopment in hazard-prone, low-elevation mountainous areas. This transformation has led to the conversion of socio-ecological production landscapes (SEPLs) into urban developments, resulting in the loss of agricultural-cultural landscapes, along with declines in biodiversity, food security, and ecosystem services (</w:t>
            </w:r>
            <w:proofErr w:type="spellStart"/>
            <w:r w:rsidRPr="00A569A7">
              <w:t>Ciftcioglu</w:t>
            </w:r>
            <w:proofErr w:type="spellEnd"/>
            <w:r w:rsidRPr="00A569A7">
              <w:t>, 2017; Saito et al., 2020). To adapt to this challenge, the Forestry and Nature Conservation Agency, Taiwan has implemented the Taiwan Ecological Network Plan (TENP), which integrates nature-based sol</w:t>
            </w:r>
            <w:r w:rsidRPr="0019041B">
              <w:t>utions (</w:t>
            </w:r>
            <w:proofErr w:type="spellStart"/>
            <w:r w:rsidRPr="0019041B">
              <w:t>NbS</w:t>
            </w:r>
            <w:proofErr w:type="spellEnd"/>
            <w:r w:rsidRPr="0019041B">
              <w:t xml:space="preserve">) and land use planning while actively engaging local communities and incorporating indigenous knowledge. This initiative fosters the sustainable development of biodiversity conservation, agriculture, </w:t>
            </w:r>
            <w:r w:rsidR="0019041B" w:rsidRPr="0019041B">
              <w:rPr>
                <w:rFonts w:eastAsia="PMingLiU"/>
                <w:lang w:eastAsia="zh-TW"/>
              </w:rPr>
              <w:t xml:space="preserve">and </w:t>
            </w:r>
            <w:r w:rsidRPr="0019041B">
              <w:t xml:space="preserve">water resource management to enhance SEPLs resilience. This article explores the long-term transformation of SEPLs in metropolitan areas and identifies key determinants. The </w:t>
            </w:r>
            <w:r w:rsidRPr="00A569A7">
              <w:t xml:space="preserve">findings will help decision-makers pinpoint conservation hotspots and develop effective SEPL restoration strategies. </w:t>
            </w:r>
            <w:r w:rsidR="00FE3D13">
              <w:t xml:space="preserve"> </w:t>
            </w:r>
          </w:p>
          <w:p w14:paraId="457D2D05" w14:textId="4552866C" w:rsidR="0065012F" w:rsidRDefault="00906B39" w:rsidP="00FE3D1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68838E6C" w:rsidR="0065012F" w:rsidRPr="00705644" w:rsidRDefault="00705644" w:rsidP="00706DED">
            <w:pPr>
              <w:jc w:val="both"/>
              <w:rPr>
                <w:b/>
                <w:sz w:val="22"/>
                <w:szCs w:val="22"/>
              </w:rPr>
            </w:pPr>
            <w:r w:rsidRPr="00705644">
              <w:rPr>
                <w:rFonts w:eastAsiaTheme="minorEastAsia"/>
                <w:lang w:eastAsia="zh-TW"/>
              </w:rPr>
              <w:t xml:space="preserve">We </w:t>
            </w:r>
            <w:r>
              <w:rPr>
                <w:rFonts w:eastAsiaTheme="minorEastAsia"/>
                <w:lang w:eastAsia="zh-TW"/>
              </w:rPr>
              <w:t>develop</w:t>
            </w:r>
            <w:r w:rsidRPr="00705644">
              <w:rPr>
                <w:rFonts w:eastAsiaTheme="minorEastAsia"/>
                <w:lang w:eastAsia="zh-TW"/>
              </w:rPr>
              <w:t>ed a</w:t>
            </w:r>
            <w:r w:rsidR="007E33AE" w:rsidRPr="00705644">
              <w:t xml:space="preserve"> novel interdisciplinary analytical framework, the Framework of Transformation of Socio-Ecological Production Landscapes and Its Determinants (FTSPLID), </w:t>
            </w:r>
            <w:r w:rsidRPr="00705644">
              <w:t xml:space="preserve">which </w:t>
            </w:r>
            <w:r w:rsidR="004947B5" w:rsidRPr="00705644">
              <w:t>integrate</w:t>
            </w:r>
            <w:r w:rsidRPr="00705644">
              <w:t>d</w:t>
            </w:r>
            <w:r w:rsidR="004947B5" w:rsidRPr="00705644">
              <w:t xml:space="preserve"> land use transitions with spatial heterogeneity theory</w:t>
            </w:r>
            <w:r w:rsidR="007E33AE" w:rsidRPr="00705644">
              <w:rPr>
                <w:lang w:eastAsia="zh-TW"/>
              </w:rPr>
              <w:t xml:space="preserve"> (</w:t>
            </w:r>
            <w:proofErr w:type="spellStart"/>
            <w:r w:rsidR="007E33AE" w:rsidRPr="00705644">
              <w:t>Ntihinyurwa</w:t>
            </w:r>
            <w:proofErr w:type="spellEnd"/>
            <w:r w:rsidR="007E33AE" w:rsidRPr="00705644">
              <w:t xml:space="preserve"> and de Vries, 2020</w:t>
            </w:r>
            <w:r w:rsidR="00A1256D" w:rsidRPr="00705644">
              <w:t>; de Lima Filho et al., 2021</w:t>
            </w:r>
            <w:r w:rsidR="007E33AE" w:rsidRPr="00705644">
              <w:rPr>
                <w:lang w:eastAsia="zh-TW"/>
              </w:rPr>
              <w:t>)</w:t>
            </w:r>
            <w:r w:rsidR="007E33AE" w:rsidRPr="00705644">
              <w:t xml:space="preserve">. This framework was applied to investigate the transformation of SEPLs and </w:t>
            </w:r>
            <w:r w:rsidR="00891D30" w:rsidRPr="00705644">
              <w:t>identify</w:t>
            </w:r>
            <w:r w:rsidR="007E33AE" w:rsidRPr="00705644">
              <w:t xml:space="preserve"> </w:t>
            </w:r>
            <w:r w:rsidR="00891D30" w:rsidRPr="00705644">
              <w:t>the</w:t>
            </w:r>
            <w:r w:rsidR="007E33AE" w:rsidRPr="00705644">
              <w:t xml:space="preserve"> key factors </w:t>
            </w:r>
            <w:r w:rsidR="00891D30" w:rsidRPr="00705644">
              <w:t>causing</w:t>
            </w:r>
            <w:r w:rsidR="007E33AE" w:rsidRPr="00705644">
              <w:t xml:space="preserve"> </w:t>
            </w:r>
            <w:r>
              <w:t>their</w:t>
            </w:r>
            <w:r w:rsidR="00891D30" w:rsidRPr="00705644">
              <w:t xml:space="preserve"> </w:t>
            </w:r>
            <w:r w:rsidR="00891D30" w:rsidRPr="00705644">
              <w:rPr>
                <w:rStyle w:val="reference"/>
              </w:rPr>
              <w:t>fragmentation</w:t>
            </w:r>
            <w:r w:rsidR="007E33AE" w:rsidRPr="00705644">
              <w:t>. It highlights the trade-offs between urbanization and SEPLs conversion, e</w:t>
            </w:r>
            <w:r w:rsidR="00891D30" w:rsidRPr="00705644">
              <w:t>xamin</w:t>
            </w:r>
            <w:r w:rsidR="007E33AE" w:rsidRPr="00705644">
              <w:t>ing the impacts of land use change, urban planning, transportation, infrastructure, and environmental shifts on SEPLs transformation. The development of FTSPLID incorporated focus group meetings and in-depth interviews to integrate the knowledge and perspectives of key stakeholders. Using data collected from low-elevation mountainous areas in the Taipei Metropolitan between 1981 and 2015, we employed landscape metrics, spatial statistics, and multivariate techniques for data analysis. Through a cross-sectoral and multi-scale approach, our methodology enables decision-makers to explore SEPLs dynamics and assess</w:t>
            </w:r>
            <w:r w:rsidR="004947B5" w:rsidRPr="00705644">
              <w:t xml:space="preserve"> the role of land use planning and TENP measures in SEPL conservation.</w:t>
            </w:r>
          </w:p>
          <w:p w14:paraId="62DAA8AE" w14:textId="77777777" w:rsidR="0065012F" w:rsidRDefault="0065012F" w:rsidP="007E33AE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76E45D4C" w:rsidR="0065012F" w:rsidRDefault="007E33A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t>L</w:t>
            </w:r>
            <w:r w:rsidRPr="00D95137">
              <w:t>andscape metrics analysis</w:t>
            </w:r>
            <w:r>
              <w:t xml:space="preserve"> </w:t>
            </w:r>
            <w:r w:rsidRPr="00D95137">
              <w:t xml:space="preserve">revealed that SEPLs in the suburbs of </w:t>
            </w:r>
            <w:r w:rsidR="004947B5">
              <w:t xml:space="preserve">the </w:t>
            </w:r>
            <w:r w:rsidRPr="00D95137">
              <w:t>Taipei</w:t>
            </w:r>
            <w:r>
              <w:t xml:space="preserve"> Metropolis</w:t>
            </w:r>
            <w:r w:rsidRPr="00D95137">
              <w:t xml:space="preserve"> ha</w:t>
            </w:r>
            <w:r>
              <w:t>ve</w:t>
            </w:r>
            <w:r w:rsidRPr="00D95137">
              <w:t xml:space="preserve"> become increasingly fragmented</w:t>
            </w:r>
            <w:r>
              <w:t xml:space="preserve"> and vulnerable</w:t>
            </w:r>
            <w:r w:rsidRPr="00D95137">
              <w:t xml:space="preserve">, </w:t>
            </w:r>
            <w:r w:rsidRPr="001F169F">
              <w:t>undergoing significant conversion into urban developments over the past 3</w:t>
            </w:r>
            <w:r w:rsidR="004947B5">
              <w:t>0</w:t>
            </w:r>
            <w:r w:rsidRPr="001F169F">
              <w:t xml:space="preserve"> years. This transformation has led to the loss of agricultural resources</w:t>
            </w:r>
            <w:r>
              <w:t xml:space="preserve">, </w:t>
            </w:r>
            <w:proofErr w:type="spellStart"/>
            <w:r>
              <w:t>a</w:t>
            </w:r>
            <w:r w:rsidRPr="003815F1">
              <w:t>gro</w:t>
            </w:r>
            <w:proofErr w:type="spellEnd"/>
            <w:r>
              <w:t>-</w:t>
            </w:r>
            <w:r w:rsidRPr="003815F1">
              <w:t>forestry symbiotic landscape</w:t>
            </w:r>
            <w:r>
              <w:t xml:space="preserve">s, </w:t>
            </w:r>
            <w:r w:rsidR="00511630">
              <w:t xml:space="preserve">and </w:t>
            </w:r>
            <w:r>
              <w:t xml:space="preserve">critical </w:t>
            </w:r>
            <w:r w:rsidRPr="00EB1B55">
              <w:t>ecological corridors</w:t>
            </w:r>
            <w:r w:rsidRPr="001F169F">
              <w:t xml:space="preserve">, </w:t>
            </w:r>
            <w:r w:rsidRPr="003815F1">
              <w:t>while also exacerbating challenges in water resource management.</w:t>
            </w:r>
            <w:r>
              <w:t xml:space="preserve"> </w:t>
            </w:r>
            <w:r w:rsidRPr="004D2823">
              <w:t>Spatial statistics analysis indicated that SEPL</w:t>
            </w:r>
            <w:r>
              <w:t>s</w:t>
            </w:r>
            <w:r w:rsidRPr="004D2823">
              <w:t xml:space="preserve"> conversion into urban development</w:t>
            </w:r>
            <w:r>
              <w:t>s</w:t>
            </w:r>
            <w:r w:rsidRPr="004D2823">
              <w:t xml:space="preserve"> was primarily concentrated in suburban areas </w:t>
            </w:r>
            <w:r>
              <w:t>near</w:t>
            </w:r>
            <w:r w:rsidRPr="004D2823">
              <w:t xml:space="preserve"> Taipei City. However, many hillside areas on the city’s outskirts have transitioned from abandoned farmland to mixed forests.</w:t>
            </w:r>
            <w:r>
              <w:t xml:space="preserve"> Regression analysis results</w:t>
            </w:r>
            <w:r w:rsidR="004947B5">
              <w:t xml:space="preserve"> also</w:t>
            </w:r>
            <w:r>
              <w:t xml:space="preserve"> </w:t>
            </w:r>
            <w:r w:rsidR="00511630">
              <w:t>showed that SELPs converted into urban land use</w:t>
            </w:r>
            <w:r>
              <w:t xml:space="preserve"> were influenced by population density, terrain conditions, urban development, and land use regulation</w:t>
            </w:r>
            <w:r w:rsidR="004947B5">
              <w:t>s</w:t>
            </w:r>
            <w:r>
              <w:t xml:space="preserve">. </w:t>
            </w:r>
            <w:r w:rsidRPr="003815F1">
              <w:t xml:space="preserve">Additionally, </w:t>
            </w:r>
            <w:r>
              <w:t>the long-term expansion of urban plan</w:t>
            </w:r>
            <w:r w:rsidR="00744A00">
              <w:t>ning</w:t>
            </w:r>
            <w:r>
              <w:t xml:space="preserve"> areas, transportation networks, and infrastructure </w:t>
            </w:r>
            <w:r w:rsidR="00744A00">
              <w:t xml:space="preserve">has </w:t>
            </w:r>
            <w:r>
              <w:t>play</w:t>
            </w:r>
            <w:r w:rsidR="00744A00">
              <w:t>ed</w:t>
            </w:r>
            <w:r>
              <w:t xml:space="preserve"> a critical role in driving changes in SELPs.</w:t>
            </w:r>
          </w:p>
          <w:p w14:paraId="261EC656" w14:textId="2669F05C" w:rsidR="00C8423A" w:rsidRDefault="0065012F" w:rsidP="007E33AE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222410CD" w14:textId="2194DC70" w:rsidR="007E33AE" w:rsidRDefault="007E33AE" w:rsidP="007E33AE">
            <w:pPr>
              <w:jc w:val="both"/>
            </w:pPr>
            <w:r>
              <w:t xml:space="preserve">Survey results underscore the trade-offs between urban development and </w:t>
            </w:r>
            <w:r w:rsidRPr="004D2823">
              <w:t>SEPL</w:t>
            </w:r>
            <w:r>
              <w:t xml:space="preserve">s conservation. The success of TENP depends on its effective integration with land use planning. </w:t>
            </w:r>
            <w:proofErr w:type="spellStart"/>
            <w:r>
              <w:t>NbS</w:t>
            </w:r>
            <w:proofErr w:type="spellEnd"/>
            <w:r>
              <w:t xml:space="preserve"> offers a promising approach to </w:t>
            </w:r>
            <w:r w:rsidRPr="00657206">
              <w:t>enhancing synergies</w:t>
            </w:r>
            <w:r>
              <w:t>,</w:t>
            </w:r>
            <w:r w:rsidRPr="00AB3EB4">
              <w:t xml:space="preserve"> balancing competing priorities, and generating co-benefits between TENP and urban development. </w:t>
            </w:r>
            <w:r w:rsidR="00D8072A" w:rsidRPr="00D8072A">
              <w:t>Our findings can support decision-makers in identifying key land-use interventions</w:t>
            </w:r>
            <w:r w:rsidR="00D8072A">
              <w:t xml:space="preserve">, </w:t>
            </w:r>
            <w:r w:rsidR="00D8072A" w:rsidRPr="00D8072A">
              <w:t xml:space="preserve">such as </w:t>
            </w:r>
            <w:r w:rsidR="00D8072A" w:rsidRPr="00D8072A">
              <w:lastRenderedPageBreak/>
              <w:t>green infrastructure, ecological corridors, habitat conservation, and transportation network design</w:t>
            </w:r>
            <w:r w:rsidR="00D8072A">
              <w:t xml:space="preserve">, </w:t>
            </w:r>
            <w:r w:rsidR="00D8072A" w:rsidRPr="00D8072A">
              <w:t>to optimize resource allocation for sustainable SEPL</w:t>
            </w:r>
            <w:r w:rsidR="00EC1AA0">
              <w:t>s</w:t>
            </w:r>
            <w:r w:rsidR="00D8072A" w:rsidRPr="00D8072A">
              <w:t xml:space="preserve"> management.</w:t>
            </w:r>
          </w:p>
          <w:p w14:paraId="4D7B65A8" w14:textId="798F3219" w:rsidR="00BE58D6" w:rsidRPr="00A1256D" w:rsidRDefault="00A1256D" w:rsidP="00A1256D">
            <w:pPr>
              <w:spacing w:beforeLines="50" w:before="120" w:afterLines="50" w:after="120"/>
              <w:jc w:val="both"/>
              <w:rPr>
                <w:rFonts w:ascii="Arial" w:eastAsiaTheme="minorEastAsia" w:hAnsi="Arial" w:cs="Arial"/>
                <w:b/>
                <w:sz w:val="22"/>
                <w:szCs w:val="22"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sz w:val="22"/>
                <w:szCs w:val="22"/>
                <w:lang w:eastAsia="zh-TW"/>
              </w:rPr>
              <w:t>R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eastAsia="zh-TW"/>
              </w:rPr>
              <w:t>eferences</w:t>
            </w:r>
          </w:p>
          <w:p w14:paraId="792A6515" w14:textId="77777777" w:rsidR="00A1256D" w:rsidRPr="00A1256D" w:rsidRDefault="00A1256D" w:rsidP="00A1256D">
            <w:pPr>
              <w:ind w:left="354" w:hangingChars="177" w:hanging="354"/>
              <w:jc w:val="both"/>
            </w:pPr>
            <w:proofErr w:type="spellStart"/>
            <w:r w:rsidRPr="00A1256D">
              <w:t>Ciftcioglu</w:t>
            </w:r>
            <w:proofErr w:type="spellEnd"/>
            <w:r w:rsidRPr="00A1256D">
              <w:t xml:space="preserve">, G.C. (2017). Assessment of the resilience of socio-ecological production landscapes and seascapes: A case study from </w:t>
            </w:r>
            <w:proofErr w:type="spellStart"/>
            <w:r w:rsidRPr="00A1256D">
              <w:t>Lefke</w:t>
            </w:r>
            <w:proofErr w:type="spellEnd"/>
            <w:r w:rsidRPr="00A1256D">
              <w:t xml:space="preserve"> Region of North Cyprus. Ecological Indicators, 73, 128-138.</w:t>
            </w:r>
          </w:p>
          <w:p w14:paraId="6A74C811" w14:textId="71C33D4C" w:rsidR="00A1256D" w:rsidRPr="00A1256D" w:rsidRDefault="00A1256D" w:rsidP="00A1256D">
            <w:pPr>
              <w:ind w:left="354" w:hangingChars="177" w:hanging="354"/>
              <w:jc w:val="both"/>
            </w:pPr>
            <w:r w:rsidRPr="00A1256D">
              <w:t>de Lima Filho, J.A., Vieira, R.J., de Souza, C.A.M., Ferreira, F.F., de Oliveira, V.M. (2021). Effects of habitat fragmentation on biodiversity patterns of ecosystems with resource competition</w:t>
            </w:r>
            <w:r w:rsidRPr="00A1256D">
              <w:rPr>
                <w:rFonts w:hint="eastAsia"/>
              </w:rPr>
              <w:t>.</w:t>
            </w:r>
            <w:r w:rsidRPr="00A1256D">
              <w:t xml:space="preserve"> Physica A: Statistical Mechanics and its Applications, 564, 125497. </w:t>
            </w:r>
          </w:p>
          <w:p w14:paraId="56E23DA5" w14:textId="6A1389D0" w:rsidR="00A1256D" w:rsidRDefault="00A1256D" w:rsidP="00A1256D">
            <w:pPr>
              <w:ind w:left="354" w:hangingChars="177" w:hanging="354"/>
              <w:jc w:val="both"/>
            </w:pPr>
            <w:proofErr w:type="spellStart"/>
            <w:r w:rsidRPr="00A1256D">
              <w:t>Ntihinyurwa</w:t>
            </w:r>
            <w:proofErr w:type="spellEnd"/>
            <w:r w:rsidRPr="00A1256D">
              <w:t>, P.D., de Vries, W.T. (2020). Farmland fragmentation and defragmentation nexus: Scoping the causes, impacts, and the conditions determining its management decisions</w:t>
            </w:r>
            <w:r w:rsidR="004A4BC9">
              <w:t>.</w:t>
            </w:r>
            <w:r w:rsidRPr="00A1256D">
              <w:t xml:space="preserve"> Ecological Indicators, 119, 106828</w:t>
            </w:r>
            <w:r w:rsidR="00744A00">
              <w:t>.</w:t>
            </w:r>
          </w:p>
          <w:p w14:paraId="7C595D9A" w14:textId="5D27B1F0" w:rsidR="00A1256D" w:rsidRPr="00A1256D" w:rsidRDefault="00A1256D" w:rsidP="00A1256D">
            <w:pPr>
              <w:ind w:left="354" w:hangingChars="177" w:hanging="354"/>
              <w:jc w:val="both"/>
            </w:pPr>
            <w:r w:rsidRPr="00A1256D">
              <w:rPr>
                <w:rStyle w:val="Strong"/>
                <w:b w:val="0"/>
              </w:rPr>
              <w:t>Saito</w:t>
            </w:r>
            <w:r w:rsidRPr="00A1256D">
              <w:t>,</w:t>
            </w:r>
            <w:r w:rsidRPr="00A1256D">
              <w:rPr>
                <w:bCs/>
              </w:rPr>
              <w:t xml:space="preserve"> </w:t>
            </w:r>
            <w:r w:rsidRPr="00A1256D">
              <w:t>O., Subramanian, S.M.</w:t>
            </w:r>
            <w:r w:rsidRPr="00A1256D">
              <w:rPr>
                <w:bCs/>
              </w:rPr>
              <w:t xml:space="preserve">, </w:t>
            </w:r>
            <w:r w:rsidRPr="00A1256D">
              <w:rPr>
                <w:rStyle w:val="Strong"/>
                <w:b w:val="0"/>
              </w:rPr>
              <w:t>Hashimoto</w:t>
            </w:r>
            <w:r w:rsidRPr="00A1256D">
              <w:rPr>
                <w:bCs/>
              </w:rPr>
              <w:t xml:space="preserve">, S., </w:t>
            </w:r>
            <w:r w:rsidRPr="00A1256D">
              <w:rPr>
                <w:rStyle w:val="Strong"/>
                <w:b w:val="0"/>
              </w:rPr>
              <w:t>Takeuchi, K. (eds.) (2020). Managing Socio-ecological Production Landscapes and Seascapes for Sustainable Communities in Asia: Mapping and Navigating Stakeholders, Policy and Action.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4D1F" w14:textId="77777777" w:rsidR="00A569A7" w:rsidRDefault="00A569A7" w:rsidP="00A569A7">
      <w:r>
        <w:separator/>
      </w:r>
    </w:p>
  </w:endnote>
  <w:endnote w:type="continuationSeparator" w:id="0">
    <w:p w14:paraId="0E8D55A9" w14:textId="77777777" w:rsidR="00A569A7" w:rsidRDefault="00A569A7" w:rsidP="00A5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253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F4AA66" w14:textId="3C8EA1BE" w:rsidR="00486407" w:rsidRPr="00486407" w:rsidRDefault="00486407">
        <w:pPr>
          <w:pStyle w:val="Footer"/>
          <w:jc w:val="center"/>
          <w:rPr>
            <w:rFonts w:ascii="Times New Roman" w:hAnsi="Times New Roman" w:cs="Times New Roman"/>
          </w:rPr>
        </w:pPr>
        <w:r w:rsidRPr="00486407">
          <w:rPr>
            <w:rFonts w:ascii="Times New Roman" w:hAnsi="Times New Roman" w:cs="Times New Roman"/>
          </w:rPr>
          <w:fldChar w:fldCharType="begin"/>
        </w:r>
        <w:r w:rsidRPr="00486407">
          <w:rPr>
            <w:rFonts w:ascii="Times New Roman" w:hAnsi="Times New Roman" w:cs="Times New Roman"/>
          </w:rPr>
          <w:instrText>PAGE   \* MERGEFORMAT</w:instrText>
        </w:r>
        <w:r w:rsidRPr="00486407">
          <w:rPr>
            <w:rFonts w:ascii="Times New Roman" w:hAnsi="Times New Roman" w:cs="Times New Roman"/>
          </w:rPr>
          <w:fldChar w:fldCharType="separate"/>
        </w:r>
        <w:r w:rsidRPr="00486407">
          <w:rPr>
            <w:rFonts w:ascii="Times New Roman" w:hAnsi="Times New Roman" w:cs="Times New Roman"/>
            <w:lang w:val="zh-TW"/>
          </w:rPr>
          <w:t>2</w:t>
        </w:r>
        <w:r w:rsidRPr="00486407">
          <w:rPr>
            <w:rFonts w:ascii="Times New Roman" w:hAnsi="Times New Roman" w:cs="Times New Roman"/>
          </w:rPr>
          <w:fldChar w:fldCharType="end"/>
        </w:r>
      </w:p>
    </w:sdtContent>
  </w:sdt>
  <w:p w14:paraId="34E987AC" w14:textId="77777777" w:rsidR="00486407" w:rsidRDefault="0048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81F5" w14:textId="77777777" w:rsidR="00A569A7" w:rsidRDefault="00A569A7" w:rsidP="00A569A7">
      <w:r>
        <w:separator/>
      </w:r>
    </w:p>
  </w:footnote>
  <w:footnote w:type="continuationSeparator" w:id="0">
    <w:p w14:paraId="3BF283A8" w14:textId="77777777" w:rsidR="00A569A7" w:rsidRDefault="00A569A7" w:rsidP="00A5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10D0"/>
    <w:multiLevelType w:val="hybridMultilevel"/>
    <w:tmpl w:val="B240D4D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2582">
    <w:abstractNumId w:val="0"/>
  </w:num>
  <w:num w:numId="2" w16cid:durableId="1307665200">
    <w:abstractNumId w:val="3"/>
  </w:num>
  <w:num w:numId="3" w16cid:durableId="589434756">
    <w:abstractNumId w:val="1"/>
  </w:num>
  <w:num w:numId="4" w16cid:durableId="57011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19041B"/>
    <w:rsid w:val="001A397C"/>
    <w:rsid w:val="00224418"/>
    <w:rsid w:val="00247C60"/>
    <w:rsid w:val="00256963"/>
    <w:rsid w:val="002C523E"/>
    <w:rsid w:val="002D05B7"/>
    <w:rsid w:val="002E3AA3"/>
    <w:rsid w:val="00307BC1"/>
    <w:rsid w:val="00317356"/>
    <w:rsid w:val="0034503D"/>
    <w:rsid w:val="00354C31"/>
    <w:rsid w:val="00375B20"/>
    <w:rsid w:val="00386D01"/>
    <w:rsid w:val="004049E7"/>
    <w:rsid w:val="00462B90"/>
    <w:rsid w:val="004828A0"/>
    <w:rsid w:val="00486407"/>
    <w:rsid w:val="004947B5"/>
    <w:rsid w:val="004A4BC9"/>
    <w:rsid w:val="004B69C7"/>
    <w:rsid w:val="004D193B"/>
    <w:rsid w:val="004F4CE8"/>
    <w:rsid w:val="004F5C81"/>
    <w:rsid w:val="00511630"/>
    <w:rsid w:val="0053222C"/>
    <w:rsid w:val="005469BD"/>
    <w:rsid w:val="00550B17"/>
    <w:rsid w:val="005854B8"/>
    <w:rsid w:val="005A141C"/>
    <w:rsid w:val="0065012F"/>
    <w:rsid w:val="0068043B"/>
    <w:rsid w:val="00681CA7"/>
    <w:rsid w:val="006A25CC"/>
    <w:rsid w:val="00705644"/>
    <w:rsid w:val="00744A00"/>
    <w:rsid w:val="007B79C2"/>
    <w:rsid w:val="007E33AE"/>
    <w:rsid w:val="008235E8"/>
    <w:rsid w:val="008773DF"/>
    <w:rsid w:val="00891D30"/>
    <w:rsid w:val="008B01BA"/>
    <w:rsid w:val="008B50A0"/>
    <w:rsid w:val="008C0C35"/>
    <w:rsid w:val="008C22AD"/>
    <w:rsid w:val="008C2633"/>
    <w:rsid w:val="008C6A0D"/>
    <w:rsid w:val="008E3D8D"/>
    <w:rsid w:val="008F2F93"/>
    <w:rsid w:val="009010B0"/>
    <w:rsid w:val="00906B39"/>
    <w:rsid w:val="00963443"/>
    <w:rsid w:val="009649CF"/>
    <w:rsid w:val="009853B4"/>
    <w:rsid w:val="009C374A"/>
    <w:rsid w:val="009F4EA0"/>
    <w:rsid w:val="00A1256D"/>
    <w:rsid w:val="00A569A7"/>
    <w:rsid w:val="00AB507A"/>
    <w:rsid w:val="00B026E8"/>
    <w:rsid w:val="00B77464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B08A7"/>
    <w:rsid w:val="00CE53FE"/>
    <w:rsid w:val="00D716AD"/>
    <w:rsid w:val="00D8072A"/>
    <w:rsid w:val="00DB7929"/>
    <w:rsid w:val="00DD1BB3"/>
    <w:rsid w:val="00E612FF"/>
    <w:rsid w:val="00EA2CB8"/>
    <w:rsid w:val="00EB1B31"/>
    <w:rsid w:val="00EC1AA0"/>
    <w:rsid w:val="00EE1993"/>
    <w:rsid w:val="00F662D8"/>
    <w:rsid w:val="00F818D6"/>
    <w:rsid w:val="00F839F7"/>
    <w:rsid w:val="00FA372B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69A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6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69A7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1256D"/>
    <w:rPr>
      <w:b/>
      <w:bCs/>
    </w:rPr>
  </w:style>
  <w:style w:type="character" w:customStyle="1" w:styleId="reference">
    <w:name w:val="reference"/>
    <w:basedOn w:val="DefaultParagraphFont"/>
    <w:rsid w:val="0089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9c8a2b7b-0bee-4c48-b0a6-23db8982d3bc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cab52c9b-ab33-4221-8af9-54f8f2b86a80"/>
    <ds:schemaRef ds:uri="http://purl.org/dc/dcmitype/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670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</cp:revision>
  <dcterms:created xsi:type="dcterms:W3CDTF">2025-02-23T01:19:00Z</dcterms:created>
  <dcterms:modified xsi:type="dcterms:W3CDTF">2025-08-19T00:43:00Z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3cd06b3d0d25c6b6cd24205fec2b114510a3f43258f75e406c748e26c7ae3a0d</vt:lpwstr>
  </property>
</Properties>
</file>