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51"/>
      </w:tblGrid>
      <w:tr w:rsidR="001564A4" w:rsidRPr="0050053A" w14:paraId="5C38377B" w14:textId="77777777" w:rsidTr="00633D69">
        <w:trPr>
          <w:trHeight w:val="423"/>
          <w:jc w:val="center"/>
        </w:trPr>
        <w:tc>
          <w:tcPr>
            <w:tcW w:w="8951" w:type="dxa"/>
            <w:shd w:val="clear" w:color="auto" w:fill="auto"/>
          </w:tcPr>
          <w:p w14:paraId="5C44F357" w14:textId="645801B8" w:rsidR="001564A4" w:rsidRPr="006833C7" w:rsidRDefault="0064097E" w:rsidP="00E03AED">
            <w:pPr>
              <w:spacing w:before="120"/>
              <w:rPr>
                <w:rFonts w:asciiTheme="minorBidi" w:hAnsiTheme="minorBidi" w:cstheme="minorBidi"/>
                <w:b/>
                <w:sz w:val="22"/>
                <w:szCs w:val="22"/>
                <w:lang w:val="en-US" w:eastAsia="zh-CN"/>
              </w:rPr>
            </w:pPr>
            <w:r>
              <w:rPr>
                <w:rFonts w:asciiTheme="minorBidi" w:hAnsiTheme="minorBidi" w:cstheme="minorBidi"/>
                <w:b/>
                <w:sz w:val="22"/>
                <w:szCs w:val="22"/>
                <w:lang w:val="en-US" w:eastAsia="en-GB"/>
              </w:rPr>
              <w:t xml:space="preserve">An early </w:t>
            </w:r>
            <w:r w:rsidR="00FF248C">
              <w:rPr>
                <w:rFonts w:asciiTheme="minorBidi" w:hAnsiTheme="minorBidi" w:cstheme="minorBidi"/>
                <w:b/>
                <w:sz w:val="22"/>
                <w:szCs w:val="22"/>
                <w:lang w:val="en-US" w:eastAsia="en-GB"/>
              </w:rPr>
              <w:t xml:space="preserve">national </w:t>
            </w:r>
            <w:r>
              <w:rPr>
                <w:rFonts w:asciiTheme="minorBidi" w:hAnsiTheme="minorBidi" w:cstheme="minorBidi"/>
                <w:b/>
                <w:sz w:val="22"/>
                <w:szCs w:val="22"/>
                <w:lang w:val="en-US" w:eastAsia="en-GB"/>
              </w:rPr>
              <w:t>assessment</w:t>
            </w:r>
            <w:r w:rsidR="006833C7" w:rsidRPr="006833C7">
              <w:rPr>
                <w:rFonts w:asciiTheme="minorBidi" w:hAnsiTheme="minorBidi" w:cstheme="minorBidi"/>
                <w:b/>
                <w:sz w:val="22"/>
                <w:szCs w:val="22"/>
                <w:lang w:val="en-US" w:eastAsia="en-GB"/>
              </w:rPr>
              <w:t xml:space="preserve"> of the 2024 wildfire season in Canada</w:t>
            </w:r>
          </w:p>
        </w:tc>
      </w:tr>
      <w:tr w:rsidR="001564A4" w:rsidRPr="0050053A" w14:paraId="6DAF615A" w14:textId="77777777" w:rsidTr="00633D69">
        <w:trPr>
          <w:trHeight w:hRule="exact" w:val="13280"/>
          <w:jc w:val="center"/>
        </w:trPr>
        <w:tc>
          <w:tcPr>
            <w:tcW w:w="8951" w:type="dxa"/>
            <w:shd w:val="clear" w:color="auto" w:fill="auto"/>
          </w:tcPr>
          <w:p w14:paraId="739E7937" w14:textId="669B01AC" w:rsidR="001564A4" w:rsidRPr="00633D69" w:rsidRDefault="001564A4" w:rsidP="000A28E2">
            <w:pPr>
              <w:pStyle w:val="Pa12"/>
              <w:rPr>
                <w:rStyle w:val="A4"/>
                <w:rFonts w:asciiTheme="minorBidi" w:hAnsiTheme="minorBidi" w:cstheme="minorBidi"/>
              </w:rPr>
            </w:pPr>
            <w:r w:rsidRPr="00633D69">
              <w:rPr>
                <w:rStyle w:val="A4"/>
                <w:rFonts w:asciiTheme="minorBidi" w:hAnsiTheme="minorBidi" w:cstheme="minorBidi"/>
                <w:b/>
                <w:bCs/>
              </w:rPr>
              <w:t xml:space="preserve">Introduction/Aim: </w:t>
            </w:r>
          </w:p>
          <w:p w14:paraId="2ED42EEB" w14:textId="692B6860" w:rsidR="001C7F20" w:rsidRDefault="006833C7" w:rsidP="001C7F20">
            <w:pPr>
              <w:pStyle w:val="Pa12"/>
              <w:rPr>
                <w:rFonts w:asciiTheme="minorBidi" w:hAnsiTheme="minorBidi" w:cstheme="minorBidi"/>
                <w:color w:val="242424"/>
                <w:sz w:val="22"/>
                <w:szCs w:val="22"/>
                <w:shd w:val="clear" w:color="auto" w:fill="FFFFFF"/>
              </w:rPr>
            </w:pPr>
            <w:r w:rsidRPr="00633D69">
              <w:rPr>
                <w:rFonts w:asciiTheme="minorBidi" w:hAnsiTheme="minorBidi" w:cstheme="minorBidi"/>
                <w:color w:val="242424"/>
                <w:sz w:val="22"/>
                <w:szCs w:val="22"/>
                <w:shd w:val="clear" w:color="auto" w:fill="FFFFFF"/>
              </w:rPr>
              <w:t xml:space="preserve">Wildfires have always been present over Canada’s forested landscapes </w:t>
            </w:r>
            <w:r w:rsidRPr="00633D69">
              <w:rPr>
                <w:rFonts w:asciiTheme="minorBidi" w:hAnsiTheme="minorBidi" w:cstheme="minorBidi"/>
                <w:color w:val="242424"/>
                <w:sz w:val="22"/>
                <w:szCs w:val="22"/>
                <w:shd w:val="clear" w:color="auto" w:fill="FFFFFF"/>
              </w:rPr>
              <w:fldChar w:fldCharType="begin"/>
            </w:r>
            <w:r w:rsidR="004B5BCA">
              <w:rPr>
                <w:rFonts w:asciiTheme="minorBidi" w:hAnsiTheme="minorBidi" w:cstheme="minorBidi"/>
                <w:color w:val="242424"/>
                <w:sz w:val="22"/>
                <w:szCs w:val="22"/>
                <w:shd w:val="clear" w:color="auto" w:fill="FFFFFF"/>
              </w:rPr>
              <w:instrText xml:space="preserve"> ADDIN ZOTERO_ITEM CSL_CITATION {"citationID":"9aRbvHi5","properties":{"formattedCitation":"[1,2]","plainCitation":"[1,2]","noteIndex":0},"citationItems":[{"id":42,"uris":["http://zotero.org/users/9134020/items/RYW9Z7CK"],"itemData":{"id":42,"type":"article-journal","abstract":"Contemporary ﬁre regimes of Canadian forests have been well documented based on forest ﬁre records between the late 1950s to 1990s. Due to known limitations of ﬁre datasets, an analysis of changes in ﬁre-regime characteristics could not be easily undertaken. This paper presents ﬁre-regime trends nationally and within two zonation systems, the homogeneous ﬁre-regime zones and ecozones, for two time periods, 1959–2015 and 1980–2015. Nationally, trends in both area burned and number of large ﬁres (≥200 ha) have increased signiﬁcantly since 1959, which might be due to increases in lightning-caused ﬁres. Human-caused ﬁres, in contrast, have shown a decline. Results suggest that large ﬁres have been getting larger over the last 57 years and that the ﬁre season has been starting approximately one week earlier and ending one week later. At the regional level, trends in ﬁre regimes are variable across the country, with fewer signiﬁcant trends. Area burned, number of large ﬁres, and lightning-caused ﬁres are increasing in most of western Canada, whereas human-caused ﬁres are either stable or declining throughout the country. Overall, Canadian forests appear to have been engaged in a trajectory towards more active ﬁre regimes over the last half century.","container-title":"Canadian Journal of Forest Research","DOI":"10.1139/cjfr-2018-0293","ISSN":"0045-5067, 1208-6037","issue":"3","journalAbbreviation":"Can. J. For. Res.","language":"en","page":"256-269","source":"DOI.org (Crossref)","title":"Fire-regime changes in Canada over the last half century","volume":"49","author":[{"family":"Hanes","given":"Chelene C."},{"family":"Wang","given":"Xianli"},{"family":"Jain","given":"Piyush"},{"family":"Parisien","given":"Marc-André"},{"family":"Little","given":"John M."},{"family":"Flannigan","given":"Mike D."}],"issued":{"date-parts":[["2019",3]]}}},{"id":1157,"uris":["http://zotero.org/users/9134020/items/MDTTMMV4"],"itemData":{"id":1157,"type":"article-journal","abstract":"A Large Fire Database (LFDB), which includes information on fire location, start date, final size, cause, and suppression action, has been developed for all fires larger than 200 ha in area for Canada for the 1959–1997 period. The LFDB represents only 3.1% of the total number of Canadian fires during this period, the remaining 96.9% of fires being suppressed while &lt;200 ha in size, yet accounts for </w:instrText>
            </w:r>
            <w:r w:rsidR="004B5BCA">
              <w:rPr>
                <w:rFonts w:ascii="Cambria Math" w:hAnsi="Cambria Math" w:cs="Cambria Math"/>
                <w:color w:val="242424"/>
                <w:sz w:val="22"/>
                <w:szCs w:val="22"/>
                <w:shd w:val="clear" w:color="auto" w:fill="FFFFFF"/>
              </w:rPr>
              <w:instrText>∼</w:instrText>
            </w:r>
            <w:r w:rsidR="004B5BCA">
              <w:rPr>
                <w:rFonts w:asciiTheme="minorBidi" w:hAnsiTheme="minorBidi" w:cstheme="minorBidi"/>
                <w:color w:val="242424"/>
                <w:sz w:val="22"/>
                <w:szCs w:val="22"/>
                <w:shd w:val="clear" w:color="auto" w:fill="FFFFFF"/>
              </w:rPr>
              <w:instrText>97% of the total area burned, allowing a spatial and temporal analysis of recent Canadian landscape</w:instrText>
            </w:r>
            <w:r w:rsidR="004B5BCA">
              <w:rPr>
                <w:rFonts w:ascii="Cambria Math" w:hAnsi="Cambria Math" w:cs="Cambria Math"/>
                <w:color w:val="242424"/>
                <w:sz w:val="22"/>
                <w:szCs w:val="22"/>
                <w:shd w:val="clear" w:color="auto" w:fill="FFFFFF"/>
              </w:rPr>
              <w:instrText>‐</w:instrText>
            </w:r>
            <w:r w:rsidR="004B5BCA">
              <w:rPr>
                <w:rFonts w:asciiTheme="minorBidi" w:hAnsiTheme="minorBidi" w:cstheme="minorBidi"/>
                <w:color w:val="242424"/>
                <w:sz w:val="22"/>
                <w:szCs w:val="22"/>
                <w:shd w:val="clear" w:color="auto" w:fill="FFFFFF"/>
              </w:rPr>
              <w:instrText xml:space="preserve">scale fire impacts. On average </w:instrText>
            </w:r>
            <w:r w:rsidR="004B5BCA">
              <w:rPr>
                <w:rFonts w:ascii="Cambria Math" w:hAnsi="Cambria Math" w:cs="Cambria Math"/>
                <w:color w:val="242424"/>
                <w:sz w:val="22"/>
                <w:szCs w:val="22"/>
                <w:shd w:val="clear" w:color="auto" w:fill="FFFFFF"/>
              </w:rPr>
              <w:instrText>∼</w:instrText>
            </w:r>
            <w:r w:rsidR="004B5BCA">
              <w:rPr>
                <w:rFonts w:asciiTheme="minorBidi" w:hAnsiTheme="minorBidi" w:cstheme="minorBidi"/>
                <w:color w:val="242424"/>
                <w:sz w:val="22"/>
                <w:szCs w:val="22"/>
                <w:shd w:val="clear" w:color="auto" w:fill="FFFFFF"/>
              </w:rPr>
              <w:instrText>2 million ha burned annually in these large fires, although more than 7 million ha burned in some years. Ecozones in the boreal and taiga regions experienced the greatest areas burned, with an average of 0.7% of the forested land burning annually. Lightning fires predominate in northern Canada, accounting for 80% of the total LFDB area burned. Large fires, although small in number, contribute substantially to area burned, most particularly in the boreal and taiga regions. The Canadian fire season runs from late April through August, with most of the area burned occurring in June and July due primarily to lightning fire activity in northern Canada. Close to 50% of the area burned in Canada is the result of fires that are not actioned due to their remote location, low values</w:instrText>
            </w:r>
            <w:r w:rsidR="004B5BCA">
              <w:rPr>
                <w:rFonts w:ascii="Cambria Math" w:hAnsi="Cambria Math" w:cs="Cambria Math"/>
                <w:color w:val="242424"/>
                <w:sz w:val="22"/>
                <w:szCs w:val="22"/>
                <w:shd w:val="clear" w:color="auto" w:fill="FFFFFF"/>
              </w:rPr>
              <w:instrText>‐</w:instrText>
            </w:r>
            <w:r w:rsidR="004B5BCA">
              <w:rPr>
                <w:rFonts w:asciiTheme="minorBidi" w:hAnsiTheme="minorBidi" w:cstheme="minorBidi"/>
                <w:color w:val="242424"/>
                <w:sz w:val="22"/>
                <w:szCs w:val="22"/>
                <w:shd w:val="clear" w:color="auto" w:fill="FFFFFF"/>
              </w:rPr>
              <w:instrText>at</w:instrText>
            </w:r>
            <w:r w:rsidR="004B5BCA">
              <w:rPr>
                <w:rFonts w:ascii="Cambria Math" w:hAnsi="Cambria Math" w:cs="Cambria Math"/>
                <w:color w:val="242424"/>
                <w:sz w:val="22"/>
                <w:szCs w:val="22"/>
                <w:shd w:val="clear" w:color="auto" w:fill="FFFFFF"/>
              </w:rPr>
              <w:instrText>‐</w:instrText>
            </w:r>
            <w:r w:rsidR="004B5BCA">
              <w:rPr>
                <w:rFonts w:asciiTheme="minorBidi" w:hAnsiTheme="minorBidi" w:cstheme="minorBidi"/>
                <w:color w:val="242424"/>
                <w:sz w:val="22"/>
                <w:szCs w:val="22"/>
                <w:shd w:val="clear" w:color="auto" w:fill="FFFFFF"/>
              </w:rPr>
              <w:instrText>risk, and efforts to accommodate the natural role of fire in these ecosystems. The LFDB is updated annually and is being expanded back in time to permit a more thorough analysis of long</w:instrText>
            </w:r>
            <w:r w:rsidR="004B5BCA">
              <w:rPr>
                <w:rFonts w:ascii="Cambria Math" w:hAnsi="Cambria Math" w:cs="Cambria Math"/>
                <w:color w:val="242424"/>
                <w:sz w:val="22"/>
                <w:szCs w:val="22"/>
                <w:shd w:val="clear" w:color="auto" w:fill="FFFFFF"/>
              </w:rPr>
              <w:instrText>‐</w:instrText>
            </w:r>
            <w:r w:rsidR="004B5BCA">
              <w:rPr>
                <w:rFonts w:asciiTheme="minorBidi" w:hAnsiTheme="minorBidi" w:cstheme="minorBidi"/>
                <w:color w:val="242424"/>
                <w:sz w:val="22"/>
                <w:szCs w:val="22"/>
                <w:shd w:val="clear" w:color="auto" w:fill="FFFFFF"/>
              </w:rPr>
              <w:instrText xml:space="preserve">term trends in Canadian fire activity.","container-title":"Journal of Geophysical Research: Atmospheres","DOI":"10.1029/2001JD000484","ISSN":"0148-0227","issue":"D1","journalAbbreviation":"J. Geophys. Res.","language":"en","source":"DOI.org (Crossref)","title":"Large forest fires in Canada, 1959–1997","URL":"https://agupubs.onlinelibrary.wiley.com/doi/10.1029/2001JD000484","volume":"107","author":[{"family":"Stocks","given":"B. J."},{"family":"Mason","given":"J. A."},{"family":"Todd","given":"J. B."},{"family":"Bosch","given":"E. M."},{"family":"Wotton","given":"B. M."},{"family":"Amiro","given":"B. D."},{"family":"Flannigan","given":"M. D."},{"family":"Hirsch","given":"K. G."},{"family":"Logan","given":"K. A."},{"family":"Martell","given":"D. L."},{"family":"Skinner","given":"W. R."}],"accessed":{"date-parts":[["2023",11,28]]},"issued":{"date-parts":[["2002",1,5]]}}}],"schema":"https://github.com/citation-style-language/schema/raw/master/csl-citation.json"} </w:instrText>
            </w:r>
            <w:r w:rsidRPr="00633D69">
              <w:rPr>
                <w:rFonts w:asciiTheme="minorBidi" w:hAnsiTheme="minorBidi" w:cstheme="minorBidi"/>
                <w:color w:val="242424"/>
                <w:sz w:val="22"/>
                <w:szCs w:val="22"/>
                <w:shd w:val="clear" w:color="auto" w:fill="FFFFFF"/>
              </w:rPr>
              <w:fldChar w:fldCharType="separate"/>
            </w:r>
            <w:r w:rsidR="004B5BCA">
              <w:rPr>
                <w:rFonts w:asciiTheme="minorBidi" w:hAnsiTheme="minorBidi" w:cstheme="minorBidi"/>
                <w:noProof/>
                <w:color w:val="242424"/>
                <w:sz w:val="22"/>
                <w:szCs w:val="22"/>
                <w:shd w:val="clear" w:color="auto" w:fill="FFFFFF"/>
              </w:rPr>
              <w:t>[1,2]</w:t>
            </w:r>
            <w:r w:rsidRPr="00633D69">
              <w:rPr>
                <w:rFonts w:asciiTheme="minorBidi" w:hAnsiTheme="minorBidi" w:cstheme="minorBidi"/>
                <w:color w:val="242424"/>
                <w:sz w:val="22"/>
                <w:szCs w:val="22"/>
                <w:shd w:val="clear" w:color="auto" w:fill="FFFFFF"/>
              </w:rPr>
              <w:fldChar w:fldCharType="end"/>
            </w:r>
            <w:r w:rsidR="00D80445" w:rsidRPr="00633D69">
              <w:rPr>
                <w:rFonts w:asciiTheme="minorBidi" w:hAnsiTheme="minorBidi" w:cstheme="minorBidi"/>
                <w:color w:val="242424"/>
                <w:sz w:val="22"/>
                <w:szCs w:val="22"/>
                <w:shd w:val="clear" w:color="auto" w:fill="FFFFFF"/>
              </w:rPr>
              <w:t xml:space="preserve">, </w:t>
            </w:r>
            <w:r w:rsidR="003C71AF">
              <w:rPr>
                <w:rFonts w:asciiTheme="minorBidi" w:hAnsiTheme="minorBidi" w:cstheme="minorBidi"/>
                <w:color w:val="242424"/>
                <w:sz w:val="22"/>
                <w:szCs w:val="22"/>
                <w:shd w:val="clear" w:color="auto" w:fill="FFFFFF"/>
              </w:rPr>
              <w:t>and</w:t>
            </w:r>
            <w:r w:rsidR="00D80445" w:rsidRPr="00633D69">
              <w:rPr>
                <w:rFonts w:asciiTheme="minorBidi" w:hAnsiTheme="minorBidi" w:cstheme="minorBidi"/>
                <w:color w:val="242424"/>
                <w:sz w:val="22"/>
                <w:szCs w:val="22"/>
                <w:shd w:val="clear" w:color="auto" w:fill="FFFFFF"/>
              </w:rPr>
              <w:t xml:space="preserve"> </w:t>
            </w:r>
            <w:r w:rsidR="001B1D4A" w:rsidRPr="00633D69">
              <w:rPr>
                <w:rFonts w:asciiTheme="minorBidi" w:hAnsiTheme="minorBidi" w:cstheme="minorBidi"/>
                <w:color w:val="242424"/>
                <w:sz w:val="22"/>
                <w:szCs w:val="22"/>
                <w:shd w:val="clear" w:color="auto" w:fill="FFFFFF"/>
              </w:rPr>
              <w:t>an</w:t>
            </w:r>
            <w:r w:rsidR="00D80445" w:rsidRPr="00633D69">
              <w:rPr>
                <w:rFonts w:asciiTheme="minorBidi" w:hAnsiTheme="minorBidi" w:cstheme="minorBidi"/>
                <w:color w:val="242424"/>
                <w:sz w:val="22"/>
                <w:szCs w:val="22"/>
                <w:shd w:val="clear" w:color="auto" w:fill="FFFFFF"/>
              </w:rPr>
              <w:t xml:space="preserve"> increased in fire activity </w:t>
            </w:r>
            <w:r w:rsidR="003C71AF">
              <w:rPr>
                <w:rFonts w:asciiTheme="minorBidi" w:hAnsiTheme="minorBidi" w:cstheme="minorBidi"/>
                <w:color w:val="242424"/>
                <w:sz w:val="22"/>
                <w:szCs w:val="22"/>
                <w:shd w:val="clear" w:color="auto" w:fill="FFFFFF"/>
              </w:rPr>
              <w:t>is</w:t>
            </w:r>
            <w:r w:rsidR="00EC3EFE" w:rsidRPr="00633D69">
              <w:rPr>
                <w:rFonts w:asciiTheme="minorBidi" w:hAnsiTheme="minorBidi" w:cstheme="minorBidi"/>
                <w:color w:val="242424"/>
                <w:sz w:val="22"/>
                <w:szCs w:val="22"/>
                <w:shd w:val="clear" w:color="auto" w:fill="FFFFFF"/>
              </w:rPr>
              <w:t xml:space="preserve"> expected </w:t>
            </w:r>
            <w:r w:rsidR="003C71AF">
              <w:rPr>
                <w:rFonts w:asciiTheme="minorBidi" w:hAnsiTheme="minorBidi" w:cstheme="minorBidi"/>
                <w:color w:val="242424"/>
                <w:sz w:val="22"/>
                <w:szCs w:val="22"/>
                <w:shd w:val="clear" w:color="auto" w:fill="FFFFFF"/>
              </w:rPr>
              <w:t>to be</w:t>
            </w:r>
            <w:r w:rsidR="00EC3EFE" w:rsidRPr="00633D69">
              <w:rPr>
                <w:rFonts w:asciiTheme="minorBidi" w:hAnsiTheme="minorBidi" w:cstheme="minorBidi"/>
                <w:color w:val="242424"/>
                <w:sz w:val="22"/>
                <w:szCs w:val="22"/>
                <w:shd w:val="clear" w:color="auto" w:fill="FFFFFF"/>
              </w:rPr>
              <w:t xml:space="preserve"> a consequence of the changing climate </w:t>
            </w:r>
            <w:r w:rsidR="00EC3EFE" w:rsidRPr="00633D69">
              <w:rPr>
                <w:rFonts w:asciiTheme="minorBidi" w:hAnsiTheme="minorBidi" w:cstheme="minorBidi"/>
                <w:color w:val="242424"/>
                <w:sz w:val="22"/>
                <w:szCs w:val="22"/>
                <w:shd w:val="clear" w:color="auto" w:fill="FFFFFF"/>
              </w:rPr>
              <w:fldChar w:fldCharType="begin"/>
            </w:r>
            <w:r w:rsidR="004B5BCA">
              <w:rPr>
                <w:rFonts w:asciiTheme="minorBidi" w:hAnsiTheme="minorBidi" w:cstheme="minorBidi"/>
                <w:color w:val="242424"/>
                <w:sz w:val="22"/>
                <w:szCs w:val="22"/>
                <w:shd w:val="clear" w:color="auto" w:fill="FFFFFF"/>
              </w:rPr>
              <w:instrText xml:space="preserve"> ADDIN ZOTERO_ITEM CSL_CITATION {"citationID":"bBrjbgwJ","properties":{"formattedCitation":"[3]","plainCitation":"[3]","noteIndex":0},"citationItems":[{"id":1290,"uris":["http://zotero.org/users/9134020/items/8RU5HCS7"],"itemData":{"id":1290,"type":"article-journal","abstract":"Historical relationships between weather, the Canadian ﬁre weather index (FWI) system components and area burned in Canadian ecozones were analysed on a monthly basis in tandem with output from the Canadian and the Hadley Centre GCMs to project future area burned. Temperature and fuel moisture were the variables best related to historical monthly area burned with 36–64% of the variance explained depending on ecozone. Our results suggest signiﬁcant increases in future area burned although there are large regional variations in ﬁre activity. This was especially true for the Canadian GCM where some ecozones show little change in area burned, however area burned was not projected to decrease in any of the ecozones modelled. On average, area burned in Canada is projected to increase by 74–118% by the end of this century in a 3 × CO2 scenario. These estimates do not explicitly take into account any changes in vegetation, ignitions, ﬁre season length, and human activity (ﬁre management and land use activities) that may inﬂuence area burned. However, the estimated increases in area burned would have signiﬁcant ecological, economic and social impacts for Canada.","container-title":"Climatic Change","DOI":"10.1007/s10584-005-5935-y","ISSN":"0165-0009, 1573-1480","issue":"1-2","journalAbbreviation":"Climatic Change","language":"en","page":"1-16","source":"DOI.org (Crossref)","title":"Future Area Burned in Canada","volume":"72","author":[{"family":"Flannigan","given":"M. D."},{"family":"Logan","given":"K. A."},{"family":"Amiro","given":"B. D."},{"family":"Skinner","given":"W. R."},{"family":"Stocks","given":"B. J."}],"issued":{"date-parts":[["2005",9]]}}}],"schema":"https://github.com/citation-style-language/schema/raw/master/csl-citation.json"} </w:instrText>
            </w:r>
            <w:r w:rsidR="00EC3EFE" w:rsidRPr="00633D69">
              <w:rPr>
                <w:rFonts w:asciiTheme="minorBidi" w:hAnsiTheme="minorBidi" w:cstheme="minorBidi"/>
                <w:color w:val="242424"/>
                <w:sz w:val="22"/>
                <w:szCs w:val="22"/>
                <w:shd w:val="clear" w:color="auto" w:fill="FFFFFF"/>
              </w:rPr>
              <w:fldChar w:fldCharType="separate"/>
            </w:r>
            <w:r w:rsidR="004B5BCA">
              <w:rPr>
                <w:rFonts w:asciiTheme="minorBidi" w:hAnsiTheme="minorBidi" w:cstheme="minorBidi"/>
                <w:noProof/>
                <w:color w:val="242424"/>
                <w:sz w:val="22"/>
                <w:szCs w:val="22"/>
                <w:shd w:val="clear" w:color="auto" w:fill="FFFFFF"/>
              </w:rPr>
              <w:t>[3]</w:t>
            </w:r>
            <w:r w:rsidR="00EC3EFE" w:rsidRPr="00633D69">
              <w:rPr>
                <w:rFonts w:asciiTheme="minorBidi" w:hAnsiTheme="minorBidi" w:cstheme="minorBidi"/>
                <w:color w:val="242424"/>
                <w:sz w:val="22"/>
                <w:szCs w:val="22"/>
                <w:shd w:val="clear" w:color="auto" w:fill="FFFFFF"/>
              </w:rPr>
              <w:fldChar w:fldCharType="end"/>
            </w:r>
            <w:r w:rsidR="00EC3EFE" w:rsidRPr="00633D69">
              <w:rPr>
                <w:rFonts w:asciiTheme="minorBidi" w:hAnsiTheme="minorBidi" w:cstheme="minorBidi"/>
                <w:color w:val="242424"/>
                <w:sz w:val="22"/>
                <w:szCs w:val="22"/>
                <w:shd w:val="clear" w:color="auto" w:fill="FFFFFF"/>
              </w:rPr>
              <w:t xml:space="preserve">. </w:t>
            </w:r>
            <w:r w:rsidR="001C7F20" w:rsidRPr="00633D69">
              <w:rPr>
                <w:rFonts w:asciiTheme="minorBidi" w:hAnsiTheme="minorBidi" w:cstheme="minorBidi"/>
                <w:color w:val="242424"/>
                <w:sz w:val="22"/>
                <w:szCs w:val="22"/>
                <w:shd w:val="clear" w:color="auto" w:fill="FFFFFF"/>
              </w:rPr>
              <w:t xml:space="preserve">The lengthening of fire seasons over the last decades </w:t>
            </w:r>
            <w:r w:rsidR="001C7F20" w:rsidRPr="00633D69">
              <w:rPr>
                <w:rFonts w:asciiTheme="minorBidi" w:hAnsiTheme="minorBidi" w:cstheme="minorBidi"/>
                <w:color w:val="242424"/>
                <w:sz w:val="22"/>
                <w:szCs w:val="22"/>
                <w:shd w:val="clear" w:color="auto" w:fill="FFFFFF"/>
              </w:rPr>
              <w:fldChar w:fldCharType="begin"/>
            </w:r>
            <w:r w:rsidR="004B5BCA">
              <w:rPr>
                <w:rFonts w:asciiTheme="minorBidi" w:hAnsiTheme="minorBidi" w:cstheme="minorBidi"/>
                <w:color w:val="242424"/>
                <w:sz w:val="22"/>
                <w:szCs w:val="22"/>
                <w:shd w:val="clear" w:color="auto" w:fill="FFFFFF"/>
              </w:rPr>
              <w:instrText xml:space="preserve"> ADDIN ZOTERO_ITEM CSL_CITATION {"citationID":"futQUhGR","properties":{"formattedCitation":"[1,4]","plainCitation":"[1,4]","noteIndex":0},"citationItems":[{"id":42,"uris":["http://zotero.org/users/9134020/items/RYW9Z7CK"],"itemData":{"id":42,"type":"article-journal","abstract":"Contemporary ﬁre regimes of Canadian forests have been well documented based on forest ﬁre records between the late 1950s to 1990s. Due to known limitations of ﬁre datasets, an analysis of changes in ﬁre-regime characteristics could not be easily undertaken. This paper presents ﬁre-regime trends nationally and within two zonation systems, the homogeneous ﬁre-regime zones and ecozones, for two time periods, 1959–2015 and 1980–2015. Nationally, trends in both area burned and number of large ﬁres (≥200 ha) have increased signiﬁcantly since 1959, which might be due to increases in lightning-caused ﬁres. Human-caused ﬁres, in contrast, have shown a decline. Results suggest that large ﬁres have been getting larger over the last 57 years and that the ﬁre season has been starting approximately one week earlier and ending one week later. At the regional level, trends in ﬁre regimes are variable across the country, with fewer signiﬁcant trends. Area burned, number of large ﬁres, and lightning-caused ﬁres are increasing in most of western Canada, whereas human-caused ﬁres are either stable or declining throughout the country. Overall, Canadian forests appear to have been engaged in a trajectory towards more active ﬁre regimes over the last half century.","container-title":"Canadian Journal of Forest Research","DOI":"10.1139/cjfr-2018-0293","ISSN":"0045-5067, 1208-6037","issue":"3","journalAbbreviation":"Can. J. For. Res.","language":"en","page":"256-269","source":"DOI.org (Crossref)","title":"Fire-regime changes in Canada over the last half century","volume":"49","author":[{"family":"Hanes","given":"Chelene C."},{"family":"Wang","given":"Xianli"},{"family":"Jain","given":"Piyush"},{"family":"Parisien","given":"Marc-André"},{"family":"Little","given":"John M."},{"family":"Flannigan","given":"Mike D."}],"issued":{"date-parts":[["2019",3]]}}},{"id":1145,"uris":["http://zotero.org/users/9134020/items/AQ8UA26L"],"itemData":{"id":1145,"type":"article-journal","abstract":"We have constructed a fire weather climatology over North America from 1979 to 2015 using the North American Regional Reanalysis dataset and the Canadian Fire Weather Index (FWI) System. We tested for the presence of trends in potential fire season length, based on a meteorological definition, and extreme fire weather using the non-parametric Theil–Sen slope estimator and Mann–Kendall test. Applying field significance testing (i.e. joint significance of multiple tests) allowed the identification of the locations of significant trends, taking into account spatial correlations. Fire season length was found to be increasing over large areas of North America, especially in eastern Canada and the south-western US, which is consistent with a later fire season end and an earlier fire season start. Both positive and negative trends in potential fire spread days and the 99th percentile of FWI occurred in Canada and the contiguous United States, although the trends of largest magnitude and statistical significance were mostly positive. In contrast, the proportion of trends with significant decreases in these variables were much lower, indicating an overall increase in extreme fire weather. The smaller proportion of significant positive trends found over Canada reflects the truncation of the time series, necessary because assimilation of precipitation observations over Canada ceased in the reanalysis post-2002.","container-title":"International Journal of Wildland Fire","DOI":"10.1071/WF17008","ISSN":"1049-8001","issue":"12","journalAbbreviation":"Int. J. Wildland Fire","language":"en","page":"1009","source":"DOI.org (Crossref)","title":"Trend analysis of fire season length and extreme fire weather in North America between 1979 and 2015","volume":"26","author":[{"family":"Jain","given":"Piyush"},{"family":"Wang","given":"Xianli"},{"family":"Flannigan","given":"Mike D."}],"issued":{"date-parts":[["2017"]]}}}],"schema":"https://github.com/citation-style-language/schema/raw/master/csl-citation.json"} </w:instrText>
            </w:r>
            <w:r w:rsidR="001C7F20" w:rsidRPr="00633D69">
              <w:rPr>
                <w:rFonts w:asciiTheme="minorBidi" w:hAnsiTheme="minorBidi" w:cstheme="minorBidi"/>
                <w:color w:val="242424"/>
                <w:sz w:val="22"/>
                <w:szCs w:val="22"/>
                <w:shd w:val="clear" w:color="auto" w:fill="FFFFFF"/>
              </w:rPr>
              <w:fldChar w:fldCharType="separate"/>
            </w:r>
            <w:r w:rsidR="004B5BCA">
              <w:rPr>
                <w:rFonts w:asciiTheme="minorBidi" w:hAnsiTheme="minorBidi" w:cstheme="minorBidi"/>
                <w:noProof/>
                <w:color w:val="242424"/>
                <w:sz w:val="22"/>
                <w:szCs w:val="22"/>
                <w:shd w:val="clear" w:color="auto" w:fill="FFFFFF"/>
              </w:rPr>
              <w:t>[1,4]</w:t>
            </w:r>
            <w:r w:rsidR="001C7F20" w:rsidRPr="00633D69">
              <w:rPr>
                <w:rFonts w:asciiTheme="minorBidi" w:hAnsiTheme="minorBidi" w:cstheme="minorBidi"/>
                <w:color w:val="242424"/>
                <w:sz w:val="22"/>
                <w:szCs w:val="22"/>
                <w:shd w:val="clear" w:color="auto" w:fill="FFFFFF"/>
              </w:rPr>
              <w:fldChar w:fldCharType="end"/>
            </w:r>
            <w:r w:rsidR="001C7F20" w:rsidRPr="00633D69">
              <w:rPr>
                <w:rFonts w:asciiTheme="minorBidi" w:hAnsiTheme="minorBidi" w:cstheme="minorBidi"/>
                <w:color w:val="242424"/>
                <w:sz w:val="22"/>
                <w:szCs w:val="22"/>
                <w:shd w:val="clear" w:color="auto" w:fill="FFFFFF"/>
              </w:rPr>
              <w:t xml:space="preserve">, and the increasing frequency of fire-prone weather conditions </w:t>
            </w:r>
            <w:r w:rsidR="001C7F20" w:rsidRPr="00633D69">
              <w:rPr>
                <w:rFonts w:asciiTheme="minorBidi" w:hAnsiTheme="minorBidi" w:cstheme="minorBidi"/>
                <w:color w:val="242424"/>
                <w:sz w:val="22"/>
                <w:szCs w:val="22"/>
                <w:shd w:val="clear" w:color="auto" w:fill="FFFFFF"/>
              </w:rPr>
              <w:fldChar w:fldCharType="begin"/>
            </w:r>
            <w:r w:rsidR="004B5BCA">
              <w:rPr>
                <w:rFonts w:asciiTheme="minorBidi" w:hAnsiTheme="minorBidi" w:cstheme="minorBidi"/>
                <w:color w:val="242424"/>
                <w:sz w:val="22"/>
                <w:szCs w:val="22"/>
                <w:shd w:val="clear" w:color="auto" w:fill="FFFFFF"/>
              </w:rPr>
              <w:instrText xml:space="preserve"> ADDIN ZOTERO_ITEM CSL_CITATION {"citationID":"amv2ohqR","properties":{"formattedCitation":"[4\\uc0\\u8211{}6]","plainCitation":"[4–6]","noteIndex":0},"citationItems":[{"id":1143,"uris":["http://zotero.org/users/9134020/items/QSTXS53D"],"itemData":{"id":1143,"type":"article-journal","abstract":"Changes in global ﬁre activity are inﬂuenced by a multitude of factors including land-cover change, policies, and climatic conditions. This study uses 17 climate models to evaluate when changes in ﬁre weather, as realized through the Fire Weather Index, emerge from the expected range of internal variability due to anthropogenic climate change using the time of emergence framework. Anthropogenic increases in extreme Fire Weather Index days emerge for 22% of burnable land area globally by 2019, including much of the Mediterranean and the Amazon. By the midtwenty-ﬁrst century, emergence among the different Fire Weather Index metrics occurs for 33–62% of burnable lands. Emergence of heightened ﬁre weather becomes more widespread as a function of global temperature change. At 2 °C above preindustrial levels, the area of emergence is half that for 3 °C. These results highlight increases in ﬁre weather conditions with human-caused climate change and incentivize local adaptation efforts to limit detrimental ﬁre impacts. Plain Language Summary Observed increases in the frequency and severity of ﬁre weather have been observed across portions of the globe over the past half century. We used climate models to identify where and when anthropogenic climate change causes ﬁre weather conditions to exceed that of natural variability. Modeling results show that emergence for some ﬁre weather indices is already under way for a sizable portion of the globe, including much of southern Europe and the Amazon, and with an expansion of this area with continued warming over the twenty-ﬁrst century. These ﬁndings suggest substantial increases in ﬁre potential in regions where vegetation abundance and ignitions are not limiting, highlighting the urgency to adapt to changes in ﬁre disturbances and hazards.","container-title":"Geophysical Research Letters","DOI":"10.1029/2018GL080959","ISSN":"0094-8276, 1944-8007","issue":"1","journalAbbreviation":"Geophysical Research Letters","language":"en","page":"326-336","source":"DOI.org (Crossref)","title":"Global emergence of anthropogenic climate change in Fire Weather Indices","volume":"46","author":[{"family":"Abatzoglou","given":"John T."},{"family":"Williams","given":"A. Park"},{"family":"Barbero","given":"Renaud"}],"issued":{"date-parts":[["2019",1,16]]}}},{"id":1145,"uris":["http://zotero.org/users/9134020/items/AQ8UA26L"],"itemData":{"id":1145,"type":"article-journal","abstract":"We have constructed a fire weather climatology over North America from 1979 to 2015 using the North American Regional Reanalysis dataset and the Canadian Fire Weather Index (FWI) System. We tested for the presence of trends in potential fire season length, based on a meteorological definition, and extreme fire weather using the non-parametric Theil–Sen slope estimator and Mann–Kendall test. Applying field significance testing (i.e. joint significance of multiple tests) allowed the identification of the locations of significant trends, taking into account spatial correlations. Fire season length was found to be increasing over large areas of North America, especially in eastern Canada and the south-western US, which is consistent with a later fire season end and an earlier fire season start. Both positive and negative trends in potential fire spread days and the 99th percentile of FWI occurred in Canada and the contiguous United States, although the trends of largest magnitude and statistical significance were mostly positive. In contrast, the proportion of trends with significant decreases in these variables were much lower, indicating an overall increase in extreme fire weather. The smaller proportion of significant positive trends found over Canada reflects the truncation of the time series, necessary because assimilation of precipitation observations over Canada ceased in the reanalysis post-2002.","container-title":"International Journal of Wildland Fire","DOI":"10.1071/WF17008","ISSN":"1049-8001","issue":"12","journalAbbreviation":"Int. J. Wildland Fire","language":"en","page":"1009","source":"DOI.org (Crossref)","title":"Trend analysis of fire season length and extreme fire weather in North America between 1979 and 2015","volume":"26","author":[{"family":"Jain","given":"Piyush"},{"family":"Wang","given":"Xianli"},{"family":"Flannigan","given":"Mike D."}],"issued":{"date-parts":[["2017"]]}}},{"id":904,"uris":["http://zotero.org/users/9134020/items/CER5QB6E"],"itemData":{"id":904,"type":"article-journal","abstract":"Recent wildfire outbreaks around the world have prompted concern that climate change is increasing fire incidence, threatening human livelihood and biodiversity, and perpetuating climate change. Here, we review current understanding of the impacts of climate change on fire weather (weather conditions conducive to the ignition and spread of wildfires) and the consequences for regional fire activity as mediated by a range of other bioclimatic factors (including vegetation biogeography, productivity and lightning) and human factors (including ignition, suppression, and land use). Through supplemental analyses, we present a stocktake of regional trends in fire weather and burned area (BA) during recent decades, and we examine how fire activity relates to its bioclimatic and human drivers. Fire weather controls the annual timing of fires in most world regions and also drives inter-annual variability in BA in the Mediterranean, the Pacific US and high latitude forests. Increases in the frequency and extremity of fire weather have been globally pervasive due to climate change during 1979–2019, meaning that landscapes are primed to burn more frequently. Correspondingly, increases in BA of </w:instrText>
            </w:r>
            <w:r w:rsidR="004B5BCA">
              <w:rPr>
                <w:rFonts w:ascii="Cambria Math" w:hAnsi="Cambria Math" w:cs="Cambria Math"/>
                <w:color w:val="242424"/>
                <w:sz w:val="22"/>
                <w:szCs w:val="22"/>
                <w:shd w:val="clear" w:color="auto" w:fill="FFFFFF"/>
              </w:rPr>
              <w:instrText>∼</w:instrText>
            </w:r>
            <w:r w:rsidR="004B5BCA">
              <w:rPr>
                <w:rFonts w:asciiTheme="minorBidi" w:hAnsiTheme="minorBidi" w:cstheme="minorBidi"/>
                <w:color w:val="242424"/>
                <w:sz w:val="22"/>
                <w:szCs w:val="22"/>
                <w:shd w:val="clear" w:color="auto" w:fill="FFFFFF"/>
              </w:rPr>
              <w:instrText xml:space="preserve">50% or higher have been seen in some extratropical forest ecoregions including in the Pacific US and high-latitude forests during 2001–2019, though interannual variability remains large in these regions. Nonetheless, other bioclimatic and human factors can override the relationship between BA and fire weather. For example, BA in savannahs relates more strongly to patterns of fuel production or to the fragmentation of naturally fire-prone landscapes by agriculture. Similarly, BA trends in tropical forests relate more strongly to deforestation rates and forest degradation than to changing fire weather. Overall, BA has reduced by 27% globally in the past two decades, due in large part to a decline in BA in African savannahs. According to climate models, the prevalence and extremity of fire weather has already emerged beyond its pre-industrial variability in the Mediterranean due to climate change, and emergence will become increasingly widespread at additional levels of warming. Moreover, several of the major wildfires experienced in recent years, including the Australian bushfires of 2019/2020, have occurred amidst fire weather conditions that were considerably more likely due to climate change. Current fire models incompletely reproduce the observed spatial patterns of BA based on their existing representations of the relationships between fire and its bioclimatic and human controls, and historical trends in BA also vary considerably across models. Advances in the observation of fire and understanding of its controlling factors are supporting the addition or optimization of a range of processes in models. Overall, climate change is exerting a pervasive upwards pressure on fire globally by increasing the frequency and intensity of fire weather, and this upwards pressure will escalate with each increment of global warming. Improvements to fire models and a better understanding of the interactions between climate, climate extremes, humans and fire are required to predict future fire activity and to mitigate against its consequences.","container-title":"Reviews of Geophysics","DOI":"10.1029/2020RG000726","ISSN":"8755-1209, 1944-9208","issue":"3","journalAbbreviation":"Reviews of Geophysics","language":"en","source":"DOI.org (Crossref)","title":"Global and regional trends and drivers of fire under climate change","URL":"https://onlinelibrary.wiley.com/doi/10.1029/2020RG000726","volume":"60","author":[{"family":"Jones","given":"Matthew W."},{"family":"Abatzoglou","given":"John T."},{"family":"Veraverbeke","given":"Sander"},{"family":"Andela","given":"Niels"},{"family":"Lasslop","given":"Gitta"},{"family":"Forkel","given":"Matthias"},{"family":"Smith","given":"Adam J. P."},{"family":"Burton","given":"Chantelle"},{"family":"Betts","given":"Richard A."},{"family":"Van Der Werf","given":"Guido R."},{"family":"Sitch","given":"Stephen"},{"family":"Canadell","given":"Josep G."},{"family":"Santín","given":"Cristina"},{"family":"Kolden","given":"Crystal"},{"family":"Doerr","given":"Stefan H."},{"family":"Le Quéré","given":"Corinne"}],"accessed":{"date-parts":[["2023",5,11]]},"issued":{"date-parts":[["2022",9]]}}}],"schema":"https://github.com/citation-style-language/schema/raw/master/csl-citation.json"} </w:instrText>
            </w:r>
            <w:r w:rsidR="001C7F20" w:rsidRPr="00633D69">
              <w:rPr>
                <w:rFonts w:asciiTheme="minorBidi" w:hAnsiTheme="minorBidi" w:cstheme="minorBidi"/>
                <w:color w:val="242424"/>
                <w:sz w:val="22"/>
                <w:szCs w:val="22"/>
                <w:shd w:val="clear" w:color="auto" w:fill="FFFFFF"/>
              </w:rPr>
              <w:fldChar w:fldCharType="separate"/>
            </w:r>
            <w:r w:rsidR="004B5BCA" w:rsidRPr="004B5BCA">
              <w:rPr>
                <w:rFonts w:hAnsiTheme="minorHAnsi"/>
                <w:color w:val="000000"/>
                <w:sz w:val="22"/>
                <w:lang w:val="en-US"/>
              </w:rPr>
              <w:t>[4</w:t>
            </w:r>
            <w:r w:rsidR="004B5BCA" w:rsidRPr="004B5BCA">
              <w:rPr>
                <w:rFonts w:hAnsiTheme="minorHAnsi"/>
                <w:color w:val="000000"/>
                <w:sz w:val="22"/>
                <w:lang w:val="en-US"/>
              </w:rPr>
              <w:t>–</w:t>
            </w:r>
            <w:r w:rsidR="004B5BCA" w:rsidRPr="004B5BCA">
              <w:rPr>
                <w:rFonts w:hAnsiTheme="minorHAnsi"/>
                <w:color w:val="000000"/>
                <w:sz w:val="22"/>
                <w:lang w:val="en-US"/>
              </w:rPr>
              <w:t>6]</w:t>
            </w:r>
            <w:r w:rsidR="001C7F20" w:rsidRPr="00633D69">
              <w:rPr>
                <w:rFonts w:asciiTheme="minorBidi" w:hAnsiTheme="minorBidi" w:cstheme="minorBidi"/>
                <w:color w:val="242424"/>
                <w:sz w:val="22"/>
                <w:szCs w:val="22"/>
                <w:shd w:val="clear" w:color="auto" w:fill="FFFFFF"/>
              </w:rPr>
              <w:fldChar w:fldCharType="end"/>
            </w:r>
            <w:r w:rsidR="001B1D4A" w:rsidRPr="00633D69">
              <w:rPr>
                <w:rFonts w:asciiTheme="minorBidi" w:hAnsiTheme="minorBidi" w:cstheme="minorBidi"/>
                <w:color w:val="242424"/>
                <w:sz w:val="22"/>
                <w:szCs w:val="22"/>
                <w:shd w:val="clear" w:color="auto" w:fill="FFFFFF"/>
              </w:rPr>
              <w:t xml:space="preserve"> are expected to continue producing conditions for intense fire seasons</w:t>
            </w:r>
            <w:r w:rsidR="002901B6" w:rsidRPr="00633D69">
              <w:rPr>
                <w:rFonts w:asciiTheme="minorBidi" w:hAnsiTheme="minorBidi" w:cstheme="minorBidi"/>
                <w:color w:val="242424"/>
                <w:sz w:val="22"/>
                <w:szCs w:val="22"/>
                <w:shd w:val="clear" w:color="auto" w:fill="FFFFFF"/>
              </w:rPr>
              <w:t xml:space="preserve"> in Canada</w:t>
            </w:r>
            <w:r w:rsidR="001B1D4A" w:rsidRPr="00633D69">
              <w:rPr>
                <w:rFonts w:asciiTheme="minorBidi" w:hAnsiTheme="minorBidi" w:cstheme="minorBidi"/>
                <w:color w:val="242424"/>
                <w:sz w:val="22"/>
                <w:szCs w:val="22"/>
                <w:shd w:val="clear" w:color="auto" w:fill="FFFFFF"/>
              </w:rPr>
              <w:t>.</w:t>
            </w:r>
          </w:p>
          <w:p w14:paraId="63422C1A" w14:textId="77777777" w:rsidR="00633D69" w:rsidRPr="00633D69" w:rsidRDefault="00633D69" w:rsidP="00633D69">
            <w:pPr>
              <w:pStyle w:val="Default"/>
            </w:pPr>
          </w:p>
          <w:p w14:paraId="5A5D1743" w14:textId="7BD7881E" w:rsidR="001C7F20" w:rsidRPr="00633D69" w:rsidRDefault="002901B6" w:rsidP="00D16297">
            <w:pPr>
              <w:pStyle w:val="Pa12"/>
              <w:rPr>
                <w:rFonts w:asciiTheme="minorBidi" w:hAnsiTheme="minorBidi" w:cstheme="minorBidi"/>
                <w:sz w:val="22"/>
                <w:szCs w:val="22"/>
              </w:rPr>
            </w:pPr>
            <w:r w:rsidRPr="00633D69">
              <w:rPr>
                <w:rFonts w:asciiTheme="minorBidi" w:hAnsiTheme="minorBidi" w:cstheme="minorBidi"/>
                <w:color w:val="242424"/>
                <w:sz w:val="22"/>
                <w:szCs w:val="22"/>
              </w:rPr>
              <w:t>Rapid detection of wildfires is essential t</w:t>
            </w:r>
            <w:r w:rsidRPr="00633D69">
              <w:rPr>
                <w:rFonts w:asciiTheme="minorBidi" w:hAnsiTheme="minorBidi" w:cstheme="minorBidi"/>
                <w:color w:val="242424"/>
                <w:sz w:val="22"/>
                <w:szCs w:val="22"/>
                <w:shd w:val="clear" w:color="auto" w:fill="FFFFFF"/>
              </w:rPr>
              <w:t xml:space="preserve">o support the allocation of firefighting resources and ensure the safety of communities </w:t>
            </w:r>
            <w:r w:rsidRPr="00633D69">
              <w:rPr>
                <w:rFonts w:asciiTheme="minorBidi" w:hAnsiTheme="minorBidi" w:cstheme="minorBidi"/>
                <w:color w:val="242424"/>
                <w:sz w:val="22"/>
                <w:szCs w:val="22"/>
                <w:shd w:val="clear" w:color="auto" w:fill="FFFFFF"/>
              </w:rPr>
              <w:fldChar w:fldCharType="begin"/>
            </w:r>
            <w:r w:rsidR="004B5BCA">
              <w:rPr>
                <w:rFonts w:asciiTheme="minorBidi" w:hAnsiTheme="minorBidi" w:cstheme="minorBidi"/>
                <w:color w:val="242424"/>
                <w:sz w:val="22"/>
                <w:szCs w:val="22"/>
                <w:shd w:val="clear" w:color="auto" w:fill="FFFFFF"/>
              </w:rPr>
              <w:instrText xml:space="preserve"> ADDIN ZOTERO_ITEM CSL_CITATION {"citationID":"IFkqEVxm","properties":{"formattedCitation":"[7]","plainCitation":"[7]","noteIndex":0},"citationItems":[{"id":982,"uris":["http://zotero.org/users/9134020/items/Q3YEEUYM"],"itemData":{"id":982,"type":"article-journal","abstract":"In 2019 the Canadian Space Agency initiated development of a dedicated wildfire monitoring satellite (WildFireSat) mission. The intent of this mission is to support operational wildfire management, smoke and air quality forecasting, and wildfire carbon emissions reporting. In order to deliver the mission objectives, it was necessary to identify the technical and operational challenges which have prevented broad exploitation of Earth Observation (EO) in Canadian wildfire management and to address these challenges in the mission design. In this study we emphasize the first objective by documenting the results of wildfire management end-user engagement activities which were used to identify the key Fire Management Functionalities (FMFs) required for an Earth Observation wildfire monitoring system. These FMFs are then used to define the User Requirements for the Canadian Wildland Fire Monitoring System (CWFMS) which are refined here for the WildFireSat mission. The User Requirements are divided into Observational, Measurement, and Precision requirements and form the foundation for the design of the WildFireSat mission (currently in Phase-A, summer 2020).","container-title":"sensors","DOI":"10.3390/s20185081","ISSN":"1424-8220","issue":"18","journalAbbreviation":"Sensors","language":"en","page":"5081","source":"DOI.org (Crossref)","title":"Development of the user requirements for the Canadian WildFireSat satellite mission","volume":"20","author":[{"family":"Johnston","given":"Joshua M."},{"family":"Jackson","given":"Natasha"},{"family":"McFayden","given":"Colin"},{"family":"Ngo Phong","given":"Linh"},{"family":"Lawrence","given":"Brian"},{"family":"Davignon","given":"Didier"},{"family":"Wooster","given":"Martin J."},{"family":"Van Mierlo","given":"Helena"},{"family":"Thompson","given":"Dan K."},{"family":"Cantin","given":"Alan S."},{"family":"Johnston","given":"Daniel"},{"family":"Johnston","given":"Lynn M."},{"family":"Sloane","given":"Meghan"},{"family":"Ramos","given":"Rebecca"},{"family":"Lynham","given":"Tim J."}],"issued":{"date-parts":[["2020",9,7]]}}}],"schema":"https://github.com/citation-style-language/schema/raw/master/csl-citation.json"} </w:instrText>
            </w:r>
            <w:r w:rsidRPr="00633D69">
              <w:rPr>
                <w:rFonts w:asciiTheme="minorBidi" w:hAnsiTheme="minorBidi" w:cstheme="minorBidi"/>
                <w:color w:val="242424"/>
                <w:sz w:val="22"/>
                <w:szCs w:val="22"/>
                <w:shd w:val="clear" w:color="auto" w:fill="FFFFFF"/>
              </w:rPr>
              <w:fldChar w:fldCharType="separate"/>
            </w:r>
            <w:r w:rsidR="004B5BCA">
              <w:rPr>
                <w:rFonts w:asciiTheme="minorBidi" w:hAnsiTheme="minorBidi" w:cstheme="minorBidi"/>
                <w:noProof/>
                <w:color w:val="242424"/>
                <w:sz w:val="22"/>
                <w:szCs w:val="22"/>
                <w:shd w:val="clear" w:color="auto" w:fill="FFFFFF"/>
              </w:rPr>
              <w:t>[7]</w:t>
            </w:r>
            <w:r w:rsidRPr="00633D69">
              <w:rPr>
                <w:rFonts w:asciiTheme="minorBidi" w:hAnsiTheme="minorBidi" w:cstheme="minorBidi"/>
                <w:color w:val="242424"/>
                <w:sz w:val="22"/>
                <w:szCs w:val="22"/>
                <w:shd w:val="clear" w:color="auto" w:fill="FFFFFF"/>
              </w:rPr>
              <w:fldChar w:fldCharType="end"/>
            </w:r>
            <w:r w:rsidRPr="00633D69">
              <w:rPr>
                <w:rFonts w:asciiTheme="minorBidi" w:hAnsiTheme="minorBidi" w:cstheme="minorBidi"/>
                <w:color w:val="242424"/>
                <w:sz w:val="22"/>
                <w:szCs w:val="22"/>
                <w:shd w:val="clear" w:color="auto" w:fill="FFFFFF"/>
              </w:rPr>
              <w:t xml:space="preserve">. </w:t>
            </w:r>
            <w:r w:rsidR="003C71AF">
              <w:rPr>
                <w:rFonts w:asciiTheme="minorBidi" w:hAnsiTheme="minorBidi" w:cstheme="minorBidi"/>
                <w:color w:val="242424"/>
                <w:sz w:val="22"/>
                <w:szCs w:val="22"/>
                <w:shd w:val="clear" w:color="auto" w:fill="FFFFFF"/>
              </w:rPr>
              <w:t xml:space="preserve">Existing </w:t>
            </w:r>
            <w:r w:rsidR="003C71AF">
              <w:rPr>
                <w:rFonts w:asciiTheme="minorBidi" w:hAnsiTheme="minorBidi" w:cstheme="minorBidi"/>
                <w:sz w:val="22"/>
                <w:szCs w:val="22"/>
              </w:rPr>
              <w:t>a</w:t>
            </w:r>
            <w:r w:rsidR="00D16297" w:rsidRPr="00633D69">
              <w:rPr>
                <w:rFonts w:asciiTheme="minorBidi" w:hAnsiTheme="minorBidi" w:cstheme="minorBidi"/>
                <w:sz w:val="22"/>
                <w:szCs w:val="22"/>
              </w:rPr>
              <w:t xml:space="preserve">pproaches </w:t>
            </w:r>
            <w:r w:rsidR="000D5887">
              <w:rPr>
                <w:rFonts w:asciiTheme="minorBidi" w:hAnsiTheme="minorBidi" w:cstheme="minorBidi"/>
                <w:sz w:val="22"/>
                <w:szCs w:val="22"/>
              </w:rPr>
              <w:t xml:space="preserve">to map active fires </w:t>
            </w:r>
            <w:r w:rsidR="001D17F1" w:rsidRPr="00633D69">
              <w:rPr>
                <w:rFonts w:asciiTheme="minorBidi" w:hAnsiTheme="minorBidi" w:cstheme="minorBidi"/>
                <w:sz w:val="22"/>
                <w:szCs w:val="22"/>
              </w:rPr>
              <w:t>allow</w:t>
            </w:r>
            <w:r w:rsidR="00D16297" w:rsidRPr="00633D69">
              <w:rPr>
                <w:rFonts w:asciiTheme="minorBidi" w:hAnsiTheme="minorBidi" w:cstheme="minorBidi"/>
                <w:sz w:val="22"/>
                <w:szCs w:val="22"/>
              </w:rPr>
              <w:t xml:space="preserve"> </w:t>
            </w:r>
            <w:r w:rsidR="003C71AF">
              <w:rPr>
                <w:rFonts w:asciiTheme="minorBidi" w:hAnsiTheme="minorBidi" w:cstheme="minorBidi"/>
                <w:sz w:val="22"/>
                <w:szCs w:val="22"/>
              </w:rPr>
              <w:t xml:space="preserve">the rapid first order </w:t>
            </w:r>
            <w:r w:rsidR="001D17F1" w:rsidRPr="00633D69">
              <w:rPr>
                <w:rFonts w:asciiTheme="minorBidi" w:hAnsiTheme="minorBidi" w:cstheme="minorBidi"/>
                <w:sz w:val="22"/>
                <w:szCs w:val="22"/>
              </w:rPr>
              <w:t>delineat</w:t>
            </w:r>
            <w:r w:rsidR="003C71AF">
              <w:rPr>
                <w:rFonts w:asciiTheme="minorBidi" w:hAnsiTheme="minorBidi" w:cstheme="minorBidi"/>
                <w:sz w:val="22"/>
                <w:szCs w:val="22"/>
              </w:rPr>
              <w:t>ion of</w:t>
            </w:r>
            <w:r w:rsidR="001D17F1" w:rsidRPr="00633D69">
              <w:rPr>
                <w:rFonts w:asciiTheme="minorBidi" w:hAnsiTheme="minorBidi" w:cstheme="minorBidi"/>
                <w:sz w:val="22"/>
                <w:szCs w:val="22"/>
              </w:rPr>
              <w:t xml:space="preserve"> wildfires</w:t>
            </w:r>
            <w:r w:rsidR="00D16297" w:rsidRPr="00633D69">
              <w:rPr>
                <w:rFonts w:asciiTheme="minorBidi" w:hAnsiTheme="minorBidi" w:cstheme="minorBidi"/>
                <w:sz w:val="22"/>
                <w:szCs w:val="22"/>
              </w:rPr>
              <w:t xml:space="preserve"> to inform emergency response activities. The trade-off is that </w:t>
            </w:r>
            <w:r w:rsidR="001D17F1" w:rsidRPr="00633D69">
              <w:rPr>
                <w:rFonts w:asciiTheme="minorBidi" w:hAnsiTheme="minorBidi" w:cstheme="minorBidi"/>
                <w:sz w:val="22"/>
                <w:szCs w:val="22"/>
              </w:rPr>
              <w:t xml:space="preserve">unburned areas </w:t>
            </w:r>
            <w:r w:rsidR="00FF248C">
              <w:rPr>
                <w:rFonts w:asciiTheme="minorBidi" w:hAnsiTheme="minorBidi" w:cstheme="minorBidi"/>
                <w:sz w:val="22"/>
                <w:szCs w:val="22"/>
              </w:rPr>
              <w:t>can be</w:t>
            </w:r>
            <w:r w:rsidR="001D17F1" w:rsidRPr="00633D69">
              <w:rPr>
                <w:rFonts w:asciiTheme="minorBidi" w:hAnsiTheme="minorBidi" w:cstheme="minorBidi"/>
                <w:sz w:val="22"/>
                <w:szCs w:val="22"/>
              </w:rPr>
              <w:t xml:space="preserve"> included in those preliminary</w:t>
            </w:r>
            <w:r w:rsidR="00D16297" w:rsidRPr="00633D69">
              <w:rPr>
                <w:rFonts w:asciiTheme="minorBidi" w:hAnsiTheme="minorBidi" w:cstheme="minorBidi"/>
                <w:sz w:val="22"/>
                <w:szCs w:val="22"/>
              </w:rPr>
              <w:t xml:space="preserve"> </w:t>
            </w:r>
            <w:r w:rsidR="001D17F1" w:rsidRPr="00633D69">
              <w:rPr>
                <w:rFonts w:asciiTheme="minorBidi" w:hAnsiTheme="minorBidi" w:cstheme="minorBidi"/>
                <w:sz w:val="22"/>
                <w:szCs w:val="22"/>
              </w:rPr>
              <w:t>maps</w:t>
            </w:r>
            <w:r w:rsidR="00D16297" w:rsidRPr="00633D69">
              <w:rPr>
                <w:rFonts w:asciiTheme="minorBidi" w:hAnsiTheme="minorBidi" w:cstheme="minorBidi"/>
                <w:sz w:val="22"/>
                <w:szCs w:val="22"/>
              </w:rPr>
              <w:t xml:space="preserve">. </w:t>
            </w:r>
            <w:r w:rsidRPr="00633D69">
              <w:rPr>
                <w:rFonts w:asciiTheme="minorBidi" w:hAnsiTheme="minorBidi" w:cstheme="minorBidi"/>
                <w:color w:val="242424"/>
                <w:sz w:val="22"/>
                <w:szCs w:val="22"/>
                <w:shd w:val="clear" w:color="auto" w:fill="FFFFFF"/>
              </w:rPr>
              <w:t xml:space="preserve">Using </w:t>
            </w:r>
            <w:r w:rsidR="00407BD1" w:rsidRPr="00633D69">
              <w:rPr>
                <w:rFonts w:asciiTheme="minorBidi" w:hAnsiTheme="minorBidi" w:cstheme="minorBidi"/>
                <w:color w:val="242424"/>
                <w:sz w:val="22"/>
                <w:szCs w:val="22"/>
                <w:shd w:val="clear" w:color="auto" w:fill="FFFFFF"/>
              </w:rPr>
              <w:t xml:space="preserve">medium spatial resolution (10 – 100 m) </w:t>
            </w:r>
            <w:r w:rsidRPr="00633D69">
              <w:rPr>
                <w:rFonts w:asciiTheme="minorBidi" w:hAnsiTheme="minorBidi" w:cstheme="minorBidi"/>
                <w:sz w:val="22"/>
                <w:szCs w:val="22"/>
              </w:rPr>
              <w:t xml:space="preserve">optical sensors for the initial detection of fire is known to be limited by smoke, cloud, and haze. </w:t>
            </w:r>
            <w:r w:rsidR="00D16297" w:rsidRPr="00633D69">
              <w:rPr>
                <w:rFonts w:asciiTheme="minorBidi" w:hAnsiTheme="minorBidi" w:cstheme="minorBidi"/>
                <w:sz w:val="22"/>
                <w:szCs w:val="22"/>
              </w:rPr>
              <w:t>However, a</w:t>
            </w:r>
            <w:r w:rsidRPr="00633D69">
              <w:rPr>
                <w:rFonts w:asciiTheme="minorBidi" w:hAnsiTheme="minorBidi" w:cstheme="minorBidi"/>
                <w:sz w:val="22"/>
                <w:szCs w:val="22"/>
              </w:rPr>
              <w:t xml:space="preserve"> within-year time series of images can mitigate the impact of atmospheric interference and provide multiple temporal </w:t>
            </w:r>
            <w:r w:rsidR="00FF248C">
              <w:rPr>
                <w:rFonts w:asciiTheme="minorBidi" w:hAnsiTheme="minorBidi" w:cstheme="minorBidi"/>
                <w:sz w:val="22"/>
                <w:szCs w:val="22"/>
              </w:rPr>
              <w:t>observations</w:t>
            </w:r>
            <w:r w:rsidR="00A90D7A" w:rsidRPr="00633D69">
              <w:rPr>
                <w:rFonts w:asciiTheme="minorBidi" w:hAnsiTheme="minorBidi" w:cstheme="minorBidi"/>
                <w:sz w:val="22"/>
                <w:szCs w:val="22"/>
              </w:rPr>
              <w:t xml:space="preserve"> </w:t>
            </w:r>
            <w:r w:rsidRPr="00633D69">
              <w:rPr>
                <w:rFonts w:asciiTheme="minorBidi" w:hAnsiTheme="minorBidi" w:cstheme="minorBidi"/>
                <w:sz w:val="22"/>
                <w:szCs w:val="22"/>
              </w:rPr>
              <w:t xml:space="preserve">to refine and improve mapping </w:t>
            </w:r>
            <w:r w:rsidR="00A90D7A" w:rsidRPr="00633D69">
              <w:rPr>
                <w:rFonts w:asciiTheme="minorBidi" w:hAnsiTheme="minorBidi" w:cstheme="minorBidi"/>
                <w:sz w:val="22"/>
                <w:szCs w:val="22"/>
              </w:rPr>
              <w:t>of burned areas</w:t>
            </w:r>
            <w:r w:rsidRPr="00633D69">
              <w:rPr>
                <w:rFonts w:asciiTheme="minorBidi" w:hAnsiTheme="minorBidi" w:cstheme="minorBidi"/>
                <w:sz w:val="22"/>
                <w:szCs w:val="22"/>
              </w:rPr>
              <w:t xml:space="preserve">. </w:t>
            </w:r>
          </w:p>
          <w:p w14:paraId="75E50F7A" w14:textId="77777777" w:rsidR="00407BD1" w:rsidRPr="00633D69" w:rsidRDefault="00407BD1" w:rsidP="00A90D7A">
            <w:pPr>
              <w:pStyle w:val="Default"/>
              <w:rPr>
                <w:rFonts w:asciiTheme="minorBidi" w:hAnsiTheme="minorBidi" w:cstheme="minorBidi"/>
                <w:sz w:val="22"/>
                <w:szCs w:val="22"/>
              </w:rPr>
            </w:pPr>
          </w:p>
          <w:p w14:paraId="1F71949F" w14:textId="2F91A770" w:rsidR="00A90D7A" w:rsidRPr="00633D69" w:rsidRDefault="00A90D7A" w:rsidP="00A90D7A">
            <w:pPr>
              <w:pStyle w:val="Default"/>
              <w:rPr>
                <w:rFonts w:asciiTheme="minorBidi" w:hAnsiTheme="minorBidi" w:cstheme="minorBidi"/>
                <w:sz w:val="22"/>
                <w:szCs w:val="22"/>
              </w:rPr>
            </w:pPr>
            <w:r w:rsidRPr="00633D69">
              <w:rPr>
                <w:rFonts w:asciiTheme="minorBidi" w:hAnsiTheme="minorBidi" w:cstheme="minorBidi"/>
                <w:sz w:val="22"/>
                <w:szCs w:val="22"/>
              </w:rPr>
              <w:t>The aim of th</w:t>
            </w:r>
            <w:r w:rsidR="0077275A">
              <w:rPr>
                <w:rFonts w:asciiTheme="minorBidi" w:hAnsiTheme="minorBidi" w:cstheme="minorBidi"/>
                <w:sz w:val="22"/>
                <w:szCs w:val="22"/>
              </w:rPr>
              <w:t>is</w:t>
            </w:r>
            <w:r w:rsidRPr="00633D69">
              <w:rPr>
                <w:rFonts w:asciiTheme="minorBidi" w:hAnsiTheme="minorBidi" w:cstheme="minorBidi"/>
                <w:sz w:val="22"/>
                <w:szCs w:val="22"/>
              </w:rPr>
              <w:t xml:space="preserve"> presentation is to show the preliminary burn areas</w:t>
            </w:r>
            <w:r w:rsidR="00090639">
              <w:rPr>
                <w:rFonts w:asciiTheme="minorBidi" w:hAnsiTheme="minorBidi" w:cstheme="minorBidi"/>
                <w:sz w:val="22"/>
                <w:szCs w:val="22"/>
              </w:rPr>
              <w:t xml:space="preserve"> </w:t>
            </w:r>
            <w:r w:rsidR="00090639" w:rsidRPr="00633D69">
              <w:rPr>
                <w:rFonts w:asciiTheme="minorBidi" w:hAnsiTheme="minorBidi" w:cstheme="minorBidi"/>
                <w:sz w:val="22"/>
                <w:szCs w:val="22"/>
              </w:rPr>
              <w:t>of the 2024 fire season in Canada</w:t>
            </w:r>
            <w:r w:rsidR="00407BD1" w:rsidRPr="00633D69">
              <w:rPr>
                <w:rFonts w:asciiTheme="minorBidi" w:hAnsiTheme="minorBidi" w:cstheme="minorBidi"/>
                <w:sz w:val="22"/>
                <w:szCs w:val="22"/>
              </w:rPr>
              <w:t xml:space="preserve"> at a </w:t>
            </w:r>
            <w:r w:rsidR="004B31A9">
              <w:rPr>
                <w:rFonts w:asciiTheme="minorBidi" w:hAnsiTheme="minorBidi" w:cstheme="minorBidi"/>
                <w:sz w:val="22"/>
                <w:szCs w:val="22"/>
              </w:rPr>
              <w:t>10</w:t>
            </w:r>
            <w:r w:rsidR="00D16297" w:rsidRPr="00633D69">
              <w:rPr>
                <w:rFonts w:asciiTheme="minorBidi" w:hAnsiTheme="minorBidi" w:cstheme="minorBidi"/>
                <w:sz w:val="22"/>
                <w:szCs w:val="22"/>
              </w:rPr>
              <w:t>-</w:t>
            </w:r>
            <w:r w:rsidR="00407BD1" w:rsidRPr="00633D69">
              <w:rPr>
                <w:rFonts w:asciiTheme="minorBidi" w:hAnsiTheme="minorBidi" w:cstheme="minorBidi"/>
                <w:sz w:val="22"/>
                <w:szCs w:val="22"/>
              </w:rPr>
              <w:t xml:space="preserve">m spatial resolution. </w:t>
            </w:r>
            <w:r w:rsidR="001D17F1" w:rsidRPr="00633D69">
              <w:rPr>
                <w:rFonts w:asciiTheme="minorBidi" w:hAnsiTheme="minorBidi" w:cstheme="minorBidi"/>
                <w:sz w:val="22"/>
                <w:szCs w:val="22"/>
              </w:rPr>
              <w:t>Additional</w:t>
            </w:r>
            <w:r w:rsidR="00407BD1" w:rsidRPr="00633D69">
              <w:rPr>
                <w:rFonts w:asciiTheme="minorBidi" w:hAnsiTheme="minorBidi" w:cstheme="minorBidi"/>
                <w:sz w:val="22"/>
                <w:szCs w:val="22"/>
              </w:rPr>
              <w:t xml:space="preserve"> insights on land cover types impacted by wildfires and the treed aboveground biomass consequences</w:t>
            </w:r>
            <w:r w:rsidR="001D17F1" w:rsidRPr="00633D69">
              <w:rPr>
                <w:rFonts w:asciiTheme="minorBidi" w:hAnsiTheme="minorBidi" w:cstheme="minorBidi"/>
                <w:sz w:val="22"/>
                <w:szCs w:val="22"/>
              </w:rPr>
              <w:t xml:space="preserve"> will be provided.</w:t>
            </w:r>
          </w:p>
          <w:p w14:paraId="3D770CF7" w14:textId="77777777" w:rsidR="001564A4" w:rsidRPr="00633D69" w:rsidRDefault="001564A4" w:rsidP="000A28E2">
            <w:pPr>
              <w:pStyle w:val="Pa12"/>
              <w:rPr>
                <w:rStyle w:val="A4"/>
                <w:rFonts w:asciiTheme="minorBidi" w:hAnsiTheme="minorBidi" w:cstheme="minorBidi"/>
                <w:bCs/>
              </w:rPr>
            </w:pPr>
          </w:p>
          <w:p w14:paraId="1B39336E" w14:textId="77777777" w:rsidR="001564A4" w:rsidRPr="00633D69" w:rsidRDefault="001564A4" w:rsidP="000A28E2">
            <w:pPr>
              <w:pStyle w:val="Pa12"/>
              <w:rPr>
                <w:rStyle w:val="A4"/>
                <w:rFonts w:asciiTheme="minorBidi" w:hAnsiTheme="minorBidi" w:cstheme="minorBidi"/>
                <w:b/>
                <w:bCs/>
              </w:rPr>
            </w:pPr>
            <w:r w:rsidRPr="00633D69">
              <w:rPr>
                <w:rStyle w:val="A4"/>
                <w:rFonts w:asciiTheme="minorBidi" w:hAnsiTheme="minorBidi" w:cstheme="minorBidi"/>
                <w:b/>
                <w:bCs/>
              </w:rPr>
              <w:t xml:space="preserve">Methods: </w:t>
            </w:r>
          </w:p>
          <w:p w14:paraId="544EA516" w14:textId="7A94D439" w:rsidR="00A01D5C" w:rsidRPr="00633D69" w:rsidRDefault="00E63A64" w:rsidP="00E03AED">
            <w:pPr>
              <w:pStyle w:val="Default"/>
              <w:rPr>
                <w:rFonts w:asciiTheme="minorBidi" w:hAnsiTheme="minorBidi" w:cstheme="minorBidi"/>
                <w:sz w:val="22"/>
                <w:szCs w:val="22"/>
              </w:rPr>
            </w:pPr>
            <w:r w:rsidRPr="00633D69">
              <w:rPr>
                <w:rFonts w:asciiTheme="minorBidi" w:hAnsiTheme="minorBidi" w:cstheme="minorBidi"/>
                <w:sz w:val="22"/>
                <w:szCs w:val="22"/>
              </w:rPr>
              <w:t xml:space="preserve">Our analysis </w:t>
            </w:r>
            <w:r w:rsidR="00633D69">
              <w:rPr>
                <w:rFonts w:asciiTheme="minorBidi" w:hAnsiTheme="minorBidi" w:cstheme="minorBidi"/>
                <w:sz w:val="22"/>
                <w:szCs w:val="22"/>
              </w:rPr>
              <w:t>will be</w:t>
            </w:r>
            <w:r w:rsidRPr="00633D69">
              <w:rPr>
                <w:rFonts w:asciiTheme="minorBidi" w:hAnsiTheme="minorBidi" w:cstheme="minorBidi"/>
                <w:sz w:val="22"/>
                <w:szCs w:val="22"/>
              </w:rPr>
              <w:t xml:space="preserve"> conducted </w:t>
            </w:r>
            <w:r w:rsidR="00633D69">
              <w:rPr>
                <w:rFonts w:asciiTheme="minorBidi" w:hAnsiTheme="minorBidi" w:cstheme="minorBidi"/>
                <w:sz w:val="22"/>
                <w:szCs w:val="22"/>
              </w:rPr>
              <w:t>on</w:t>
            </w:r>
            <w:r w:rsidR="00A01D5C" w:rsidRPr="00633D69">
              <w:rPr>
                <w:rFonts w:asciiTheme="minorBidi" w:hAnsiTheme="minorBidi" w:cstheme="minorBidi"/>
                <w:sz w:val="22"/>
                <w:szCs w:val="22"/>
              </w:rPr>
              <w:t xml:space="preserve"> the forest dominated ecozones of Canada (650 Mha) </w:t>
            </w:r>
            <w:r w:rsidR="00633D69">
              <w:rPr>
                <w:rFonts w:asciiTheme="minorBidi" w:hAnsiTheme="minorBidi" w:cstheme="minorBidi"/>
                <w:sz w:val="22"/>
                <w:szCs w:val="22"/>
              </w:rPr>
              <w:t>that</w:t>
            </w:r>
            <w:r w:rsidR="00A01D5C" w:rsidRPr="00633D69">
              <w:rPr>
                <w:rFonts w:asciiTheme="minorBidi" w:hAnsiTheme="minorBidi" w:cstheme="minorBidi"/>
                <w:sz w:val="22"/>
                <w:szCs w:val="22"/>
              </w:rPr>
              <w:t xml:space="preserve"> largely consist of treed areas (362 Mha</w:t>
            </w:r>
            <w:r w:rsidR="004B5BCA">
              <w:rPr>
                <w:rFonts w:asciiTheme="minorBidi" w:hAnsiTheme="minorBidi" w:cstheme="minorBidi"/>
                <w:sz w:val="22"/>
                <w:szCs w:val="22"/>
              </w:rPr>
              <w:t xml:space="preserve">) </w:t>
            </w:r>
            <w:r w:rsidR="00090639">
              <w:rPr>
                <w:rFonts w:asciiTheme="minorBidi" w:hAnsiTheme="minorBidi" w:cstheme="minorBidi"/>
                <w:sz w:val="22"/>
                <w:szCs w:val="22"/>
              </w:rPr>
              <w:fldChar w:fldCharType="begin"/>
            </w:r>
            <w:r w:rsidR="00090639">
              <w:rPr>
                <w:rFonts w:asciiTheme="minorBidi" w:hAnsiTheme="minorBidi" w:cstheme="minorBidi"/>
                <w:sz w:val="22"/>
                <w:szCs w:val="22"/>
              </w:rPr>
              <w:instrText xml:space="preserve"> ADDIN ZOTERO_ITEM CSL_CITATION {"citationID":"BmbAWSk3","properties":{"formattedCitation":"[8]","plainCitation":"[8]","noteIndex":0},"citationItems":[{"id":1451,"uris":["http://zotero.org/users/9134020/items/VQ7229J7"],"itemData":{"id":1451,"type":"report","title":"The state of Canada's forests. Annual report 2022","URL":"https://natural-resources.canada.ca/sites/nrcan/files/forest/sof2022/SoF_Annual2022_EN_access.pdf","author":[{"family":"Natural Resources Canada","given":""}],"issued":{"date-parts":[["2022"]]}}}],"schema":"https://github.com/citation-style-language/schema/raw/master/csl-citation.json"} </w:instrText>
            </w:r>
            <w:r w:rsidR="00090639">
              <w:rPr>
                <w:rFonts w:asciiTheme="minorBidi" w:hAnsiTheme="minorBidi" w:cstheme="minorBidi"/>
                <w:sz w:val="22"/>
                <w:szCs w:val="22"/>
              </w:rPr>
              <w:fldChar w:fldCharType="separate"/>
            </w:r>
            <w:r w:rsidR="00090639">
              <w:rPr>
                <w:rFonts w:asciiTheme="minorBidi" w:hAnsiTheme="minorBidi" w:cstheme="minorBidi"/>
                <w:noProof/>
                <w:sz w:val="22"/>
                <w:szCs w:val="22"/>
              </w:rPr>
              <w:t>[8]</w:t>
            </w:r>
            <w:r w:rsidR="00090639">
              <w:rPr>
                <w:rFonts w:asciiTheme="minorBidi" w:hAnsiTheme="minorBidi" w:cstheme="minorBidi"/>
                <w:sz w:val="22"/>
                <w:szCs w:val="22"/>
              </w:rPr>
              <w:fldChar w:fldCharType="end"/>
            </w:r>
            <w:r w:rsidR="0077275A">
              <w:rPr>
                <w:rFonts w:asciiTheme="minorBidi" w:hAnsiTheme="minorBidi" w:cstheme="minorBidi"/>
                <w:sz w:val="22"/>
                <w:szCs w:val="22"/>
              </w:rPr>
              <w:t>.</w:t>
            </w:r>
          </w:p>
          <w:p w14:paraId="41FE6614" w14:textId="77777777" w:rsidR="00A01D5C" w:rsidRPr="00633D69" w:rsidRDefault="00A01D5C" w:rsidP="00E03AED">
            <w:pPr>
              <w:pStyle w:val="Default"/>
              <w:rPr>
                <w:rFonts w:asciiTheme="minorBidi" w:hAnsiTheme="minorBidi" w:cstheme="minorBidi"/>
                <w:sz w:val="22"/>
                <w:szCs w:val="22"/>
              </w:rPr>
            </w:pPr>
          </w:p>
          <w:p w14:paraId="69D40C23" w14:textId="2C8AE70D" w:rsidR="00D16297" w:rsidRPr="00633D69" w:rsidRDefault="00E63A64" w:rsidP="00D16297">
            <w:pPr>
              <w:pStyle w:val="Default"/>
              <w:rPr>
                <w:rFonts w:asciiTheme="minorBidi" w:hAnsiTheme="minorBidi" w:cstheme="minorBidi"/>
                <w:sz w:val="22"/>
                <w:szCs w:val="22"/>
              </w:rPr>
            </w:pPr>
            <w:r w:rsidRPr="00633D69">
              <w:rPr>
                <w:rFonts w:asciiTheme="minorBidi" w:hAnsiTheme="minorBidi" w:cstheme="minorBidi"/>
                <w:sz w:val="22"/>
                <w:szCs w:val="22"/>
              </w:rPr>
              <w:t xml:space="preserve">Burned areas </w:t>
            </w:r>
            <w:r w:rsidR="00633D69">
              <w:rPr>
                <w:rFonts w:asciiTheme="minorBidi" w:hAnsiTheme="minorBidi" w:cstheme="minorBidi"/>
                <w:sz w:val="22"/>
                <w:szCs w:val="22"/>
              </w:rPr>
              <w:t>will be</w:t>
            </w:r>
            <w:r w:rsidRPr="00633D69">
              <w:rPr>
                <w:rFonts w:asciiTheme="minorBidi" w:hAnsiTheme="minorBidi" w:cstheme="minorBidi"/>
                <w:sz w:val="22"/>
                <w:szCs w:val="22"/>
              </w:rPr>
              <w:t xml:space="preserve"> identified by leveraging the four-satellite </w:t>
            </w:r>
            <w:r w:rsidR="00FF248C">
              <w:rPr>
                <w:rFonts w:asciiTheme="minorBidi" w:hAnsiTheme="minorBidi" w:cstheme="minorBidi"/>
                <w:sz w:val="22"/>
                <w:szCs w:val="22"/>
              </w:rPr>
              <w:t xml:space="preserve">virtual </w:t>
            </w:r>
            <w:r w:rsidRPr="00633D69">
              <w:rPr>
                <w:rFonts w:asciiTheme="minorBidi" w:hAnsiTheme="minorBidi" w:cstheme="minorBidi"/>
                <w:sz w:val="22"/>
                <w:szCs w:val="22"/>
              </w:rPr>
              <w:t>constellation formed by Sentinel-2</w:t>
            </w:r>
            <w:r w:rsidR="00FF248C">
              <w:rPr>
                <w:rFonts w:asciiTheme="minorBidi" w:hAnsiTheme="minorBidi" w:cstheme="minorBidi"/>
                <w:sz w:val="22"/>
                <w:szCs w:val="22"/>
              </w:rPr>
              <w:t>A and -2B with</w:t>
            </w:r>
            <w:r w:rsidRPr="00633D69">
              <w:rPr>
                <w:rFonts w:asciiTheme="minorBidi" w:hAnsiTheme="minorBidi" w:cstheme="minorBidi"/>
                <w:sz w:val="22"/>
                <w:szCs w:val="22"/>
              </w:rPr>
              <w:t xml:space="preserve"> Landsat-8 and -9 via the cloud computing </w:t>
            </w:r>
            <w:r w:rsidR="00FF248C">
              <w:rPr>
                <w:rFonts w:asciiTheme="minorBidi" w:hAnsiTheme="minorBidi" w:cstheme="minorBidi"/>
                <w:sz w:val="22"/>
                <w:szCs w:val="22"/>
              </w:rPr>
              <w:t>environment</w:t>
            </w:r>
            <w:r w:rsidRPr="00633D69">
              <w:rPr>
                <w:rFonts w:asciiTheme="minorBidi" w:hAnsiTheme="minorBidi" w:cstheme="minorBidi"/>
                <w:sz w:val="22"/>
                <w:szCs w:val="22"/>
              </w:rPr>
              <w:t xml:space="preserve"> of Google Earth Engine and the Tracking Intra- and Inter-year Change algorithm </w:t>
            </w:r>
            <w:r w:rsidRPr="00633D69">
              <w:rPr>
                <w:rFonts w:asciiTheme="minorBidi" w:hAnsiTheme="minorBidi" w:cstheme="minorBidi"/>
                <w:sz w:val="22"/>
                <w:szCs w:val="22"/>
              </w:rPr>
              <w:fldChar w:fldCharType="begin"/>
            </w:r>
            <w:r w:rsidR="004B5BCA">
              <w:rPr>
                <w:rFonts w:asciiTheme="minorBidi" w:hAnsiTheme="minorBidi" w:cstheme="minorBidi"/>
                <w:sz w:val="22"/>
                <w:szCs w:val="22"/>
              </w:rPr>
              <w:instrText xml:space="preserve"> ADDIN ZOTERO_ITEM CSL_CITATION {"citationID":"SAQdMaXb","properties":{"formattedCitation":"[9]","plainCitation":"[9]","noteIndex":0},"citationItems":[{"id":1447,"uris":["http://zotero.org/users/9134020/items/SS5I2ZMP"],"itemData":{"id":1447,"type":"article-journal","abstract":"National aboveground forest biomass products enable monitoring of biomass dynamics in a consistent and repeatable manner to inform carbon accounting and sustainable forest management activities. The availability of images of the Earth’s surface from a combination of Landsat and Sentinel-2A and -2B provides an opportunity and capability to track intra-year biomass dynamics availing upon a twice weekly acquisition opportunity. We developed an algorithm that leverages these spatially and spectrally compatible data sources, called Tracking Intra- and Inter-year Change (TIIC), to monitor forest change across Canada’s forested ecozones (&gt;650Mha) in near-real time. Combining the stand-replacing change information from TIIC with spatially explicit maps of aboveground biomass (AGB), we demonstrate how intra-annual and inter-annual AGB dynamics, including losses due to stand-replacing disturbances and gains from vegetation growth, can be quantified temporally and spatially. Using independent validation data, our results for the focus year 2019 indicate that TIIC, by analysing images from May 30 to September 1, can accurately detect stand-replacing disturbances across Canada’s forested ecozones with an overall accuracy of 99% and correctly attribute the type of change (i.e., wildfire or mechanical removal, the latter of which includes timber harvesting) with an overall accuracy of 99%. From an initial pro­ ducer’s accuracy of 23% for the changed class, accuracy increases incrementally as additional images are added throughout the growing season. attaining a producer’s accuracy of 98% by the end of the analysis period. Intrayear change information complements information on long-term trends derived from annual time series moni­ toring over several decades. Our analysis of AGB dynamics indicated that in every ecozone, widespread small positive AGB increments yielded overall AGB gains that were greater than the sum of the large, punctual AGB losses resulting from stand-replacing disturbances. Overall in 2019, forest AGB increased across Canada’s forested ecozones by 2.54%. Temporally, 80% of AGB losses stemming from mechanical removal occurred over the winter and are as such concentrated at the beginning of the growing season. In contrast, AGB losses linked to fires happen more stochastically throughout the growing season and occupy a greater area. By way of distur­ bance type, 36% of 2019 AGB loss was attributed to mechanical removal, and 64% was attributed to wildfire. Following the approach demonstrated herein, AGB changes can be tracked at a temporal frequency informative of forest management practices and ecological processes on the landscape, thereby refining our understanding of AGB dynamics.","container-title":"Remote Sensing of Environment","DOI":"10.1016/j.rse.2023.113931","ISSN":"00344257","journalAbbreviation":"Remote Sensing of Environment","language":"en","page":"113931","source":"DOI.org (Crossref)","title":"Inter- and intra-year forest change detection and monitoring of aboveground biomass dynamics using Sentinel-2 and Landsat","volume":"301","author":[{"family":"Pelletier","given":"Flavie"},{"family":"Cardille","given":"Jeffrey A."},{"family":"Wulder","given":"Michael A."},{"family":"White","given":"Joanne C."},{"family":"Hermosilla","given":"Txomin"}],"issued":{"date-parts":[["2024",2]]}}}],"schema":"https://github.com/citation-style-language/schema/raw/master/csl-citation.json"} </w:instrText>
            </w:r>
            <w:r w:rsidRPr="00633D69">
              <w:rPr>
                <w:rFonts w:asciiTheme="minorBidi" w:hAnsiTheme="minorBidi" w:cstheme="minorBidi"/>
                <w:sz w:val="22"/>
                <w:szCs w:val="22"/>
              </w:rPr>
              <w:fldChar w:fldCharType="separate"/>
            </w:r>
            <w:r w:rsidR="004B5BCA">
              <w:rPr>
                <w:rFonts w:asciiTheme="minorBidi" w:hAnsiTheme="minorBidi" w:cstheme="minorBidi"/>
                <w:noProof/>
                <w:sz w:val="22"/>
                <w:szCs w:val="22"/>
              </w:rPr>
              <w:t>[9]</w:t>
            </w:r>
            <w:r w:rsidRPr="00633D69">
              <w:rPr>
                <w:rFonts w:asciiTheme="minorBidi" w:hAnsiTheme="minorBidi" w:cstheme="minorBidi"/>
                <w:sz w:val="22"/>
                <w:szCs w:val="22"/>
              </w:rPr>
              <w:fldChar w:fldCharType="end"/>
            </w:r>
            <w:r w:rsidR="000E0B3C" w:rsidRPr="00633D69">
              <w:rPr>
                <w:rFonts w:asciiTheme="minorBidi" w:hAnsiTheme="minorBidi" w:cstheme="minorBidi"/>
                <w:sz w:val="22"/>
                <w:szCs w:val="22"/>
              </w:rPr>
              <w:t>. This algorithm enables the identification of stand-replacing disturbances based on a time series of images</w:t>
            </w:r>
            <w:r w:rsidR="00D16297" w:rsidRPr="00633D69">
              <w:rPr>
                <w:rFonts w:asciiTheme="minorBidi" w:hAnsiTheme="minorBidi" w:cstheme="minorBidi"/>
                <w:sz w:val="22"/>
                <w:szCs w:val="22"/>
              </w:rPr>
              <w:t>.</w:t>
            </w:r>
            <w:r w:rsidR="000E0B3C" w:rsidRPr="00633D69">
              <w:rPr>
                <w:rFonts w:asciiTheme="minorBidi" w:hAnsiTheme="minorBidi" w:cstheme="minorBidi"/>
                <w:sz w:val="22"/>
                <w:szCs w:val="22"/>
              </w:rPr>
              <w:t xml:space="preserve"> </w:t>
            </w:r>
            <w:r w:rsidR="00D16297" w:rsidRPr="00633D69">
              <w:rPr>
                <w:rFonts w:asciiTheme="minorBidi" w:hAnsiTheme="minorBidi" w:cstheme="minorBidi"/>
                <w:sz w:val="22"/>
                <w:szCs w:val="22"/>
              </w:rPr>
              <w:t>TIIC builds</w:t>
            </w:r>
            <w:r w:rsidR="000E0B3C" w:rsidRPr="00633D69">
              <w:rPr>
                <w:rFonts w:asciiTheme="minorBidi" w:hAnsiTheme="minorBidi" w:cstheme="minorBidi"/>
                <w:sz w:val="22"/>
                <w:szCs w:val="22"/>
              </w:rPr>
              <w:t xml:space="preserve"> an expectation time series </w:t>
            </w:r>
            <w:r w:rsidR="00D16297" w:rsidRPr="00633D69">
              <w:rPr>
                <w:rFonts w:asciiTheme="minorBidi" w:hAnsiTheme="minorBidi" w:cstheme="minorBidi"/>
                <w:sz w:val="22"/>
                <w:szCs w:val="22"/>
              </w:rPr>
              <w:t>of</w:t>
            </w:r>
            <w:r w:rsidR="000E0B3C" w:rsidRPr="00633D69">
              <w:rPr>
                <w:rFonts w:asciiTheme="minorBidi" w:hAnsiTheme="minorBidi" w:cstheme="minorBidi"/>
                <w:sz w:val="22"/>
                <w:szCs w:val="22"/>
              </w:rPr>
              <w:t xml:space="preserve"> the spectral signature of a pixel from one or more </w:t>
            </w:r>
            <w:r w:rsidR="00022FCB">
              <w:rPr>
                <w:rFonts w:asciiTheme="minorBidi" w:hAnsiTheme="minorBidi" w:cstheme="minorBidi"/>
                <w:sz w:val="22"/>
                <w:szCs w:val="22"/>
              </w:rPr>
              <w:t xml:space="preserve">past </w:t>
            </w:r>
            <w:r w:rsidR="000E0B3C" w:rsidRPr="00633D69">
              <w:rPr>
                <w:rFonts w:asciiTheme="minorBidi" w:hAnsiTheme="minorBidi" w:cstheme="minorBidi"/>
                <w:sz w:val="22"/>
                <w:szCs w:val="22"/>
              </w:rPr>
              <w:t>years</w:t>
            </w:r>
            <w:r w:rsidR="00D16297" w:rsidRPr="00633D69">
              <w:rPr>
                <w:rFonts w:asciiTheme="minorBidi" w:hAnsiTheme="minorBidi" w:cstheme="minorBidi"/>
                <w:sz w:val="22"/>
                <w:szCs w:val="22"/>
              </w:rPr>
              <w:t>, and compares</w:t>
            </w:r>
            <w:r w:rsidR="000E0B3C" w:rsidRPr="00633D69">
              <w:rPr>
                <w:rFonts w:asciiTheme="minorBidi" w:hAnsiTheme="minorBidi" w:cstheme="minorBidi"/>
                <w:sz w:val="22"/>
                <w:szCs w:val="22"/>
              </w:rPr>
              <w:t xml:space="preserve"> new images </w:t>
            </w:r>
            <w:r w:rsidR="00022FCB">
              <w:rPr>
                <w:rFonts w:asciiTheme="minorBidi" w:hAnsiTheme="minorBidi" w:cstheme="minorBidi"/>
                <w:sz w:val="22"/>
                <w:szCs w:val="22"/>
              </w:rPr>
              <w:t xml:space="preserve">to that expectation as </w:t>
            </w:r>
            <w:r w:rsidR="00FF248C">
              <w:rPr>
                <w:rFonts w:asciiTheme="minorBidi" w:hAnsiTheme="minorBidi" w:cstheme="minorBidi"/>
                <w:sz w:val="22"/>
                <w:szCs w:val="22"/>
              </w:rPr>
              <w:t>obtained</w:t>
            </w:r>
            <w:r w:rsidR="000E0B3C" w:rsidRPr="00633D69">
              <w:rPr>
                <w:rFonts w:asciiTheme="minorBidi" w:hAnsiTheme="minorBidi" w:cstheme="minorBidi"/>
                <w:sz w:val="22"/>
                <w:szCs w:val="22"/>
              </w:rPr>
              <w:t>.</w:t>
            </w:r>
            <w:r w:rsidR="00D16297" w:rsidRPr="00633D69">
              <w:rPr>
                <w:rFonts w:asciiTheme="minorBidi" w:hAnsiTheme="minorBidi" w:cstheme="minorBidi"/>
                <w:sz w:val="22"/>
                <w:szCs w:val="22"/>
              </w:rPr>
              <w:t xml:space="preserve"> </w:t>
            </w:r>
            <w:r w:rsidR="00022FCB">
              <w:rPr>
                <w:rFonts w:asciiTheme="minorBidi" w:hAnsiTheme="minorBidi" w:cstheme="minorBidi"/>
                <w:sz w:val="22"/>
                <w:szCs w:val="22"/>
              </w:rPr>
              <w:t>Because the fire season may well be continuing into September 2024, we expect to produce maps showing fire activity up to the conference date.</w:t>
            </w:r>
          </w:p>
          <w:p w14:paraId="5FF8D972" w14:textId="77777777" w:rsidR="00DF022A" w:rsidRPr="00633D69" w:rsidRDefault="00DF022A" w:rsidP="00DF022A">
            <w:pPr>
              <w:pStyle w:val="Default"/>
              <w:rPr>
                <w:rFonts w:asciiTheme="minorBidi" w:hAnsiTheme="minorBidi" w:cstheme="minorBidi"/>
                <w:sz w:val="22"/>
                <w:szCs w:val="22"/>
              </w:rPr>
            </w:pPr>
          </w:p>
          <w:p w14:paraId="6BF3F094" w14:textId="77777777" w:rsidR="001564A4" w:rsidRPr="00633D69" w:rsidRDefault="001564A4" w:rsidP="000A28E2">
            <w:pPr>
              <w:pStyle w:val="Pa12"/>
              <w:rPr>
                <w:rStyle w:val="A4"/>
                <w:rFonts w:asciiTheme="minorBidi" w:hAnsiTheme="minorBidi" w:cstheme="minorBidi"/>
                <w:b/>
                <w:bCs/>
              </w:rPr>
            </w:pPr>
            <w:r w:rsidRPr="00633D69">
              <w:rPr>
                <w:rStyle w:val="A4"/>
                <w:rFonts w:asciiTheme="minorBidi" w:hAnsiTheme="minorBidi" w:cstheme="minorBidi"/>
                <w:b/>
                <w:bCs/>
              </w:rPr>
              <w:t xml:space="preserve">Results: </w:t>
            </w:r>
          </w:p>
          <w:p w14:paraId="18F77515" w14:textId="259349C0" w:rsidR="001564A4" w:rsidRPr="00633D69" w:rsidRDefault="00022FCB" w:rsidP="00D16297">
            <w:pPr>
              <w:pStyle w:val="Default"/>
              <w:rPr>
                <w:rFonts w:asciiTheme="minorBidi" w:hAnsiTheme="minorBidi" w:cstheme="minorBidi"/>
                <w:sz w:val="22"/>
                <w:szCs w:val="22"/>
              </w:rPr>
            </w:pPr>
            <w:r>
              <w:rPr>
                <w:rFonts w:asciiTheme="minorBidi" w:hAnsiTheme="minorBidi" w:cstheme="minorBidi"/>
                <w:sz w:val="22"/>
                <w:szCs w:val="22"/>
              </w:rPr>
              <w:t xml:space="preserve">This methodology was established for the 2019 growing season </w:t>
            </w:r>
            <w:r w:rsidRPr="00633D69">
              <w:rPr>
                <w:rFonts w:asciiTheme="minorBidi" w:hAnsiTheme="minorBidi" w:cstheme="minorBidi"/>
                <w:sz w:val="22"/>
                <w:szCs w:val="22"/>
              </w:rPr>
              <w:fldChar w:fldCharType="begin"/>
            </w:r>
            <w:r>
              <w:rPr>
                <w:rFonts w:asciiTheme="minorBidi" w:hAnsiTheme="minorBidi" w:cstheme="minorBidi"/>
                <w:sz w:val="22"/>
                <w:szCs w:val="22"/>
              </w:rPr>
              <w:instrText xml:space="preserve"> ADDIN ZOTERO_ITEM CSL_CITATION {"citationID":"SAQdMaXb","properties":{"formattedCitation":"[9]","plainCitation":"[9]","noteIndex":0},"citationItems":[{"id":1447,"uris":["http://zotero.org/users/9134020/items/SS5I2ZMP"],"itemData":{"id":1447,"type":"article-journal","abstract":"National aboveground forest biomass products enable monitoring of biomass dynamics in a consistent and repeatable manner to inform carbon accounting and sustainable forest management activities. The availability of images of the Earth’s surface from a combination of Landsat and Sentinel-2A and -2B provides an opportunity and capability to track intra-year biomass dynamics availing upon a twice weekly acquisition opportunity. We developed an algorithm that leverages these spatially and spectrally compatible data sources, called Tracking Intra- and Inter-year Change (TIIC), to monitor forest change across Canada’s forested ecozones (&gt;650Mha) in near-real time. Combining the stand-replacing change information from TIIC with spatially explicit maps of aboveground biomass (AGB), we demonstrate how intra-annual and inter-annual AGB dynamics, including losses due to stand-replacing disturbances and gains from vegetation growth, can be quantified temporally and spatially. Using independent validation data, our results for the focus year 2019 indicate that TIIC, by analysing images from May 30 to September 1, can accurately detect stand-replacing disturbances across Canada’s forested ecozones with an overall accuracy of 99% and correctly attribute the type of change (i.e., wildfire or mechanical removal, the latter of which includes timber harvesting) with an overall accuracy of 99%. From an initial pro­ ducer’s accuracy of 23% for the changed class, accuracy increases incrementally as additional images are added throughout the growing season. attaining a producer’s accuracy of 98% by the end of the analysis period. Intrayear change information complements information on long-term trends derived from annual time series moni­ toring over several decades. Our analysis of AGB dynamics indicated that in every ecozone, widespread small positive AGB increments yielded overall AGB gains that were greater than the sum of the large, punctual AGB losses resulting from stand-replacing disturbances. Overall in 2019, forest AGB increased across Canada’s forested ecozones by 2.54%. Temporally, 80% of AGB losses stemming from mechanical removal occurred over the winter and are as such concentrated at the beginning of the growing season. In contrast, AGB losses linked to fires happen more stochastically throughout the growing season and occupy a greater area. By way of distur­ bance type, 36% of 2019 AGB loss was attributed to mechanical removal, and 64% was attributed to wildfire. Following the approach demonstrated herein, AGB changes can be tracked at a temporal frequency informative of forest management practices and ecological processes on the landscape, thereby refining our understanding of AGB dynamics.","container-title":"Remote Sensing of Environment","DOI":"10.1016/j.rse.2023.113931","ISSN":"00344257","journalAbbreviation":"Remote Sensing of Environment","language":"en","page":"113931","source":"DOI.org (Crossref)","title":"Inter- and intra-year forest change detection and monitoring of aboveground biomass dynamics using Sentinel-2 and Landsat","volume":"301","author":[{"family":"Pelletier","given":"Flavie"},{"family":"Cardille","given":"Jeffrey A."},{"family":"Wulder","given":"Michael A."},{"family":"White","given":"Joanne C."},{"family":"Hermosilla","given":"Txomin"}],"issued":{"date-parts":[["2024",2]]}}}],"schema":"https://github.com/citation-style-language/schema/raw/master/csl-citation.json"} </w:instrText>
            </w:r>
            <w:r w:rsidRPr="00633D69">
              <w:rPr>
                <w:rFonts w:asciiTheme="minorBidi" w:hAnsiTheme="minorBidi" w:cstheme="minorBidi"/>
                <w:sz w:val="22"/>
                <w:szCs w:val="22"/>
              </w:rPr>
              <w:fldChar w:fldCharType="separate"/>
            </w:r>
            <w:r>
              <w:rPr>
                <w:rFonts w:asciiTheme="minorBidi" w:hAnsiTheme="minorBidi" w:cstheme="minorBidi"/>
                <w:noProof/>
                <w:sz w:val="22"/>
                <w:szCs w:val="22"/>
              </w:rPr>
              <w:t>[9]</w:t>
            </w:r>
            <w:r w:rsidRPr="00633D69">
              <w:rPr>
                <w:rFonts w:asciiTheme="minorBidi" w:hAnsiTheme="minorBidi" w:cstheme="minorBidi"/>
                <w:sz w:val="22"/>
                <w:szCs w:val="22"/>
              </w:rPr>
              <w:fldChar w:fldCharType="end"/>
            </w:r>
            <w:r w:rsidR="002C3D87" w:rsidRPr="00633D69">
              <w:rPr>
                <w:rFonts w:asciiTheme="minorBidi" w:hAnsiTheme="minorBidi" w:cstheme="minorBidi"/>
                <w:sz w:val="22"/>
                <w:szCs w:val="22"/>
              </w:rPr>
              <w:t xml:space="preserve">, </w:t>
            </w:r>
            <w:r>
              <w:rPr>
                <w:rFonts w:asciiTheme="minorBidi" w:hAnsiTheme="minorBidi" w:cstheme="minorBidi"/>
                <w:sz w:val="22"/>
                <w:szCs w:val="22"/>
              </w:rPr>
              <w:t>and used to analyse the record-breaking</w:t>
            </w:r>
            <w:r w:rsidR="00C53679" w:rsidRPr="00633D69">
              <w:rPr>
                <w:rFonts w:asciiTheme="minorBidi" w:hAnsiTheme="minorBidi" w:cstheme="minorBidi"/>
                <w:sz w:val="22"/>
                <w:szCs w:val="22"/>
              </w:rPr>
              <w:t xml:space="preserve"> 2023 fire season in Canada</w:t>
            </w:r>
            <w:r w:rsidR="00090639">
              <w:rPr>
                <w:rFonts w:asciiTheme="minorBidi" w:hAnsiTheme="minorBidi" w:cstheme="minorBidi"/>
                <w:sz w:val="22"/>
                <w:szCs w:val="22"/>
              </w:rPr>
              <w:t xml:space="preserve"> </w:t>
            </w:r>
            <w:r w:rsidR="00090639">
              <w:rPr>
                <w:rFonts w:asciiTheme="minorBidi" w:hAnsiTheme="minorBidi" w:cstheme="minorBidi"/>
                <w:sz w:val="22"/>
                <w:szCs w:val="22"/>
              </w:rPr>
              <w:fldChar w:fldCharType="begin"/>
            </w:r>
            <w:r w:rsidR="00090639">
              <w:rPr>
                <w:rFonts w:asciiTheme="minorBidi" w:hAnsiTheme="minorBidi" w:cstheme="minorBidi"/>
                <w:sz w:val="22"/>
                <w:szCs w:val="22"/>
              </w:rPr>
              <w:instrText xml:space="preserve"> ADDIN ZOTERO_ITEM CSL_CITATION {"citationID":"FumUN0vN","properties":{"formattedCitation":"[10]","plainCitation":"[10]","noteIndex":0},"citationItems":[{"id":1483,"uris":["http://zotero.org/users/9134020/items/53XV67W3"],"itemData":{"id":1483,"type":"manuscript","event-place":"Science of Remote Sensing","genre":"Submitted for publication","publisher-place":"Science of Remote Sensing","title":"Challenges of mapping burned areas: revisiting the 2023 wildfire season in Canada","author":[{"family":"Pelletier","given":"Flavie"},{"family":"Cardille","given":"Jeffrey A."},{"family":"Wulder","given":"Michael A."},{"family":"White","given":"Joanne C."},{"family":"Hermosilla","given":"Txomin"}],"issued":{"date-parts":[["2024"]]}}}],"schema":"https://github.com/citation-style-language/schema/raw/master/csl-citation.json"} </w:instrText>
            </w:r>
            <w:r w:rsidR="00090639">
              <w:rPr>
                <w:rFonts w:asciiTheme="minorBidi" w:hAnsiTheme="minorBidi" w:cstheme="minorBidi"/>
                <w:sz w:val="22"/>
                <w:szCs w:val="22"/>
              </w:rPr>
              <w:fldChar w:fldCharType="separate"/>
            </w:r>
            <w:r w:rsidR="00090639">
              <w:rPr>
                <w:rFonts w:asciiTheme="minorBidi" w:hAnsiTheme="minorBidi" w:cstheme="minorBidi"/>
                <w:noProof/>
                <w:sz w:val="22"/>
                <w:szCs w:val="22"/>
              </w:rPr>
              <w:t>[10]</w:t>
            </w:r>
            <w:r w:rsidR="00090639">
              <w:rPr>
                <w:rFonts w:asciiTheme="minorBidi" w:hAnsiTheme="minorBidi" w:cstheme="minorBidi"/>
                <w:sz w:val="22"/>
                <w:szCs w:val="22"/>
              </w:rPr>
              <w:fldChar w:fldCharType="end"/>
            </w:r>
            <w:r w:rsidR="00C53679" w:rsidRPr="00633D69">
              <w:rPr>
                <w:rFonts w:asciiTheme="minorBidi" w:hAnsiTheme="minorBidi" w:cstheme="minorBidi"/>
                <w:sz w:val="22"/>
                <w:szCs w:val="22"/>
              </w:rPr>
              <w:t xml:space="preserve">. </w:t>
            </w:r>
            <w:r>
              <w:rPr>
                <w:rFonts w:asciiTheme="minorBidi" w:hAnsiTheme="minorBidi" w:cstheme="minorBidi"/>
                <w:sz w:val="22"/>
                <w:szCs w:val="22"/>
              </w:rPr>
              <w:t>We</w:t>
            </w:r>
            <w:r w:rsidR="00C53679" w:rsidRPr="00633D69">
              <w:rPr>
                <w:rFonts w:asciiTheme="minorBidi" w:hAnsiTheme="minorBidi" w:cstheme="minorBidi"/>
                <w:sz w:val="22"/>
                <w:szCs w:val="22"/>
              </w:rPr>
              <w:t xml:space="preserve"> found that </w:t>
            </w:r>
            <w:r w:rsidR="0073388B" w:rsidRPr="00633D69">
              <w:rPr>
                <w:rFonts w:asciiTheme="minorBidi" w:hAnsiTheme="minorBidi" w:cstheme="minorBidi"/>
                <w:sz w:val="22"/>
                <w:szCs w:val="22"/>
              </w:rPr>
              <w:t>12.74 Mha of land was burned</w:t>
            </w:r>
            <w:r>
              <w:rPr>
                <w:rFonts w:asciiTheme="minorBidi" w:hAnsiTheme="minorBidi" w:cstheme="minorBidi"/>
                <w:sz w:val="22"/>
                <w:szCs w:val="22"/>
              </w:rPr>
              <w:t xml:space="preserve"> in 2023</w:t>
            </w:r>
            <w:r w:rsidR="00090639">
              <w:rPr>
                <w:rFonts w:asciiTheme="minorBidi" w:hAnsiTheme="minorBidi" w:cstheme="minorBidi"/>
                <w:sz w:val="22"/>
                <w:szCs w:val="22"/>
              </w:rPr>
              <w:t xml:space="preserve"> across the Canadian forested ecozones</w:t>
            </w:r>
            <w:r>
              <w:rPr>
                <w:rFonts w:asciiTheme="minorBidi" w:hAnsiTheme="minorBidi" w:cstheme="minorBidi"/>
                <w:sz w:val="22"/>
                <w:szCs w:val="22"/>
              </w:rPr>
              <w:t xml:space="preserve"> </w:t>
            </w:r>
            <w:r>
              <w:rPr>
                <w:rFonts w:asciiTheme="minorBidi" w:hAnsiTheme="minorBidi" w:cstheme="minorBidi"/>
                <w:sz w:val="22"/>
                <w:szCs w:val="22"/>
              </w:rPr>
              <w:sym w:font="Symbol" w:char="F0BE"/>
            </w:r>
            <w:r>
              <w:rPr>
                <w:rFonts w:asciiTheme="minorBidi" w:hAnsiTheme="minorBidi" w:cstheme="minorBidi"/>
                <w:sz w:val="22"/>
                <w:szCs w:val="22"/>
              </w:rPr>
              <w:t xml:space="preserve"> a total</w:t>
            </w:r>
            <w:r w:rsidR="00633D69">
              <w:rPr>
                <w:rFonts w:asciiTheme="minorBidi" w:hAnsiTheme="minorBidi" w:cstheme="minorBidi"/>
                <w:sz w:val="22"/>
                <w:szCs w:val="22"/>
              </w:rPr>
              <w:t xml:space="preserve"> almost 8 time</w:t>
            </w:r>
            <w:r w:rsidR="00090639">
              <w:rPr>
                <w:rFonts w:asciiTheme="minorBidi" w:hAnsiTheme="minorBidi" w:cstheme="minorBidi"/>
                <w:sz w:val="22"/>
                <w:szCs w:val="22"/>
              </w:rPr>
              <w:t>s</w:t>
            </w:r>
            <w:r w:rsidR="00633D69">
              <w:rPr>
                <w:rFonts w:asciiTheme="minorBidi" w:hAnsiTheme="minorBidi" w:cstheme="minorBidi"/>
                <w:sz w:val="22"/>
                <w:szCs w:val="22"/>
              </w:rPr>
              <w:t xml:space="preserve"> greater than </w:t>
            </w:r>
            <w:r w:rsidR="00633D69" w:rsidRPr="00633D69">
              <w:rPr>
                <w:sz w:val="22"/>
                <w:szCs w:val="22"/>
                <w:lang w:eastAsia="ko-KR"/>
              </w:rPr>
              <w:t xml:space="preserve">the long-term annual average burned area of 1.6 Mha </w:t>
            </w:r>
            <w:r w:rsidR="00633D69" w:rsidRPr="00633D69">
              <w:rPr>
                <w:sz w:val="22"/>
                <w:szCs w:val="22"/>
                <w:lang w:eastAsia="ko-KR"/>
              </w:rPr>
              <w:fldChar w:fldCharType="begin"/>
            </w:r>
            <w:r w:rsidR="004B5BCA">
              <w:rPr>
                <w:sz w:val="22"/>
                <w:szCs w:val="22"/>
                <w:lang w:eastAsia="ko-KR"/>
              </w:rPr>
              <w:instrText xml:space="preserve"> ADDIN ZOTERO_ITEM CSL_CITATION {"citationID":"FYQABgwm","properties":{"formattedCitation":"[11,12]","plainCitation":"[11,12]","noteIndex":0},"citationItems":[{"id":1250,"uris":["http://zotero.org/users/9134020/items/UMR654EK"],"itemData":{"id":1250,"type":"article-journal","abstract":"Fire as a dominant disturbance has profound implications on the terrestrial carbon cycle. We present the first ever multi-decadal, spatially-explicit, 30 meter assessment of fire regimes across the forested ecoregions of Canada at an annual time-step. From 1985 to 2015, 51 Mha burned, impacting over 6.5% of forested ecosystems. Mean annual area burned was 1,651,818 ha and varied markedly (σ = 1,116,119), with 25% of the total area burned occurring in three years: 1989, 1995, and 2015. Boreal forest types contained 98% of the total area burned, with the conifer-dominated Boreal Shield containing one-third of all burned area. While results confirm no significant national trend in burned area for the period of 1985 to 2015, a significant national increasing trend (α = 0.05) of 11% per year was evident for the past decade (2006 to 2015). Regionally, a significant increasing trend in total burned area from 1985 to 2015 was observed in the Montane Cordillera (2.4% increase per year), while the Taiga Plains and Taiga Shield West displayed significant increasing trends from 2006 to 2015 (26.1% and 12.7% increases per year, respectively). The Atlantic Maritime, which had the lowest burned area of all ecozones (0.01% burned per year), was the only ecozone to display a significant negative trend (2.4% decrease per year) from 1985 to 2015. Given the century-long fire return intervals in many of these ecozones, and large annual variability in burned area, short-term trends need to be interpreted with caution. Additional interpretive cautions are related to year used for trend initiation and the nature and extents of spatial regionalizations used for summarizing findings. The results of our analysis provide a baseline for monitoring future national and regional trends in burned area and offer spatially and temporally detailed insights to inform science, policy, and management.","container-title":"PLOS ONE","DOI":"10.1371/journal.pone.0197218","ISSN":"1932-6203","issue":"5","journalAbbreviation":"PLoS ONE","language":"en","page":"e0197218","source":"DOI.org (Crossref)","title":"A thirty year, fine-scale, characterization of area burned in Canadian forests shows evidence of regionally increasing trends in the last decade","volume":"13","author":[{"family":"Coops","given":"Nicholas C."},{"family":"Hermosilla","given":"Txomin"},{"family":"Wulder","given":"Michael A."},{"family":"White","given":"Joanne C."},{"family":"Bolton","given":"Douglas K."}],"editor":[{"family":"Lamb","given":"Eric Gordon"}],"issued":{"date-parts":[["2018",5,22]]}}},{"id":48,"uris":["http://zotero.org/users/9134020/items/M8WSMDP6"],"itemData":{"id":48,"type":"article-journal","abstract":"In the context of complex demands on forest resources and climate change, synoptic and spatially-explicit baseline data characterizing national trends in forest disturbance and subsequent return of vegetation (and eventual return to forest) are increasingly required. Time series analyses of remotely sensed data enable the retrospective generation of baseline data depicting both forest disturbance and recovery, enabling a more holistic examination of forest dynamics. In this research, we utilize the outputs of the Composite2Change, or C2C, algorithm that leverages the extensive Landsat archive to produce annual, gap-free, surface reﬂectance composites to date and label disturbance types and to characterize vegetation recovery over the N 650 million ha of Canada's forested ecosystems. From 1985 to 2010, 57.5 Mha or 10.75% of Canada's net forested ecosystem area (exclusive of water) were disturbed by either wildﬁre or harvest, representing an annual rate of disturbance of approximately 0.43% per year. Wildﬁre accounted for 2.5 times more area disturbed than harvest. On average, wildﬁre disturbed 1.6 Mha annually and had greater inter-annual variability with a standard deviation of 1.1 Mha, compared to the 0.65 Mha disturbed annually by harvesting (σ = 0.1 Mha). Herein, we deﬁned a longer-term measure of spectral recovery (the number of years it took for a pixel to attain 80% of its pre-disturbance Normalized Burn Ratio or NBR value), which indicated that harvested areas are recovering more consistently over time relative to areas disturbed by wildﬁre, with 78.6% of harvested areas requiring ≤10 years to recover, compared to only 35.5% of wildﬁre areas. A shorter-term (5-year) measure of spectral recovery, also based on the NBR, indicated that vegetation in wildﬁre areas returned more rapidly than harvested areas; however, when the magnitude of the disturbance was incorporated into the metric, with magnitude typically larger and more variable for wildﬁre areas, harvested areas were found to be recovering more rapidly on average in the short-term. Overall, b 1% of the areas disturbed by wildﬁre and harvest were identiﬁed as non-recovering by all three spectral measures of recovery used in our analysis. Regionally, trends in disturbance and recovery largely echoed trends found at the national level, although the relative amounts and rates of wildﬁre or harvest varied by ecozone. Time series Landsat composites provide an opportunity to characterize relative trends in disturbance and recovery at a national scale, by disturbance type and ecozone, in a spatially explicit manner and at a level of spatial detail that is relevant to both forest management and science.","container-title":"Remote Sensing of Environment","DOI":"10.1016/j.rse.2017.03.035","ISSN":"00344257","journalAbbreviation":"Remote Sensing of Environment","language":"en","page":"303-321","source":"DOI.org (Crossref)","title":"A nationwide annual characterization of 25 years of forest disturbance and recovery for Canada using Landsat time series","volume":"194","author":[{"family":"White","given":"Joanne C."},{"family":"Wulder","given":"Michael A."},{"family":"Hermosilla","given":"Txomin"},{"family":"Coops","given":"Nicholas C."},{"family":"Hobart","given":"Geordie W."}],"issued":{"date-parts":[["2017",6]]}}}],"schema":"https://github.com/citation-style-language/schema/raw/master/csl-citation.json"} </w:instrText>
            </w:r>
            <w:r w:rsidR="00633D69" w:rsidRPr="00633D69">
              <w:rPr>
                <w:sz w:val="22"/>
                <w:szCs w:val="22"/>
                <w:lang w:eastAsia="ko-KR"/>
              </w:rPr>
              <w:fldChar w:fldCharType="separate"/>
            </w:r>
            <w:r w:rsidR="004B5BCA">
              <w:rPr>
                <w:noProof/>
                <w:sz w:val="22"/>
                <w:szCs w:val="22"/>
                <w:lang w:eastAsia="ko-KR"/>
              </w:rPr>
              <w:t>[11,12]</w:t>
            </w:r>
            <w:r w:rsidR="00633D69" w:rsidRPr="00633D69">
              <w:rPr>
                <w:sz w:val="22"/>
                <w:szCs w:val="22"/>
                <w:lang w:eastAsia="ko-KR"/>
              </w:rPr>
              <w:fldChar w:fldCharType="end"/>
            </w:r>
            <w:r w:rsidR="00633D69" w:rsidRPr="00633D69">
              <w:rPr>
                <w:rFonts w:asciiTheme="minorBidi" w:hAnsiTheme="minorBidi" w:cstheme="minorBidi"/>
                <w:sz w:val="22"/>
                <w:szCs w:val="22"/>
              </w:rPr>
              <w:t>.</w:t>
            </w:r>
            <w:r w:rsidR="0073388B" w:rsidRPr="00633D69">
              <w:rPr>
                <w:rFonts w:asciiTheme="minorBidi" w:hAnsiTheme="minorBidi" w:cstheme="minorBidi"/>
                <w:sz w:val="22"/>
                <w:szCs w:val="22"/>
              </w:rPr>
              <w:t xml:space="preserve"> </w:t>
            </w:r>
            <w:r>
              <w:rPr>
                <w:rFonts w:asciiTheme="minorBidi" w:hAnsiTheme="minorBidi" w:cstheme="minorBidi"/>
                <w:sz w:val="22"/>
                <w:szCs w:val="22"/>
              </w:rPr>
              <w:t>T</w:t>
            </w:r>
            <w:r w:rsidRPr="00633D69">
              <w:rPr>
                <w:rFonts w:asciiTheme="minorBidi" w:hAnsiTheme="minorBidi" w:cstheme="minorBidi"/>
                <w:sz w:val="22"/>
                <w:szCs w:val="22"/>
              </w:rPr>
              <w:t xml:space="preserve">reed vegetation </w:t>
            </w:r>
            <w:r>
              <w:rPr>
                <w:rFonts w:asciiTheme="minorBidi" w:hAnsiTheme="minorBidi" w:cstheme="minorBidi"/>
                <w:sz w:val="22"/>
                <w:szCs w:val="22"/>
              </w:rPr>
              <w:t xml:space="preserve">comprised </w:t>
            </w:r>
            <w:r w:rsidR="0073388B" w:rsidRPr="00633D69">
              <w:rPr>
                <w:rFonts w:asciiTheme="minorBidi" w:hAnsiTheme="minorBidi" w:cstheme="minorBidi"/>
                <w:sz w:val="22"/>
                <w:szCs w:val="22"/>
              </w:rPr>
              <w:t xml:space="preserve">75% </w:t>
            </w:r>
            <w:r>
              <w:rPr>
                <w:rFonts w:asciiTheme="minorBidi" w:hAnsiTheme="minorBidi" w:cstheme="minorBidi"/>
                <w:sz w:val="22"/>
                <w:szCs w:val="22"/>
              </w:rPr>
              <w:t>of the burned area</w:t>
            </w:r>
            <w:r w:rsidR="00633D69">
              <w:rPr>
                <w:rFonts w:asciiTheme="minorBidi" w:hAnsiTheme="minorBidi" w:cstheme="minorBidi"/>
                <w:sz w:val="22"/>
                <w:szCs w:val="22"/>
              </w:rPr>
              <w:t xml:space="preserve">, which led to </w:t>
            </w:r>
            <w:r w:rsidR="005E7977" w:rsidRPr="00633D69">
              <w:rPr>
                <w:rFonts w:asciiTheme="minorBidi" w:hAnsiTheme="minorBidi" w:cstheme="minorBidi"/>
                <w:sz w:val="22"/>
                <w:szCs w:val="22"/>
              </w:rPr>
              <w:t>the loss of approximately 0.65 Pg of aboveground treed biomass</w:t>
            </w:r>
            <w:r w:rsidR="00E61EB5">
              <w:rPr>
                <w:rFonts w:asciiTheme="minorBidi" w:hAnsiTheme="minorBidi" w:cstheme="minorBidi"/>
                <w:sz w:val="22"/>
                <w:szCs w:val="22"/>
              </w:rPr>
              <w:t xml:space="preserve"> </w:t>
            </w:r>
            <w:r w:rsidR="00E61EB5">
              <w:rPr>
                <w:rFonts w:asciiTheme="minorBidi" w:hAnsiTheme="minorBidi" w:cstheme="minorBidi"/>
                <w:sz w:val="22"/>
                <w:szCs w:val="22"/>
              </w:rPr>
              <w:fldChar w:fldCharType="begin"/>
            </w:r>
            <w:r w:rsidR="00E61EB5">
              <w:rPr>
                <w:rFonts w:asciiTheme="minorBidi" w:hAnsiTheme="minorBidi" w:cstheme="minorBidi"/>
                <w:sz w:val="22"/>
                <w:szCs w:val="22"/>
              </w:rPr>
              <w:instrText xml:space="preserve"> ADDIN ZOTERO_ITEM CSL_CITATION {"citationID":"FumUN0vN","properties":{"formattedCitation":"[10]","plainCitation":"[10]","noteIndex":0},"citationItems":[{"id":1483,"uris":["http://zotero.org/users/9134020/items/53XV67W3"],"itemData":{"id":1483,"type":"manuscript","event-place":"Science of Remote Sensing","genre":"Submitted for publication","publisher-place":"Science of Remote Sensing","title":"Challenges of mapping burned areas: revisiting the 2023 wildfire season in Canada","author":[{"family":"Pelletier","given":"Flavie"},{"family":"Cardille","given":"Jeffrey A."},{"family":"Wulder","given":"Michael A."},{"family":"White","given":"Joanne C."},{"family":"Hermosilla","given":"Txomin"}],"issued":{"date-parts":[["2024"]]}}}],"schema":"https://github.com/citation-style-language/schema/raw/master/csl-citation.json"} </w:instrText>
            </w:r>
            <w:r w:rsidR="00E61EB5">
              <w:rPr>
                <w:rFonts w:asciiTheme="minorBidi" w:hAnsiTheme="minorBidi" w:cstheme="minorBidi"/>
                <w:sz w:val="22"/>
                <w:szCs w:val="22"/>
              </w:rPr>
              <w:fldChar w:fldCharType="separate"/>
            </w:r>
            <w:r w:rsidR="00E61EB5">
              <w:rPr>
                <w:rFonts w:asciiTheme="minorBidi" w:hAnsiTheme="minorBidi" w:cstheme="minorBidi"/>
                <w:noProof/>
                <w:sz w:val="22"/>
                <w:szCs w:val="22"/>
              </w:rPr>
              <w:t>[10]</w:t>
            </w:r>
            <w:r w:rsidR="00E61EB5">
              <w:rPr>
                <w:rFonts w:asciiTheme="minorBidi" w:hAnsiTheme="minorBidi" w:cstheme="minorBidi"/>
                <w:sz w:val="22"/>
                <w:szCs w:val="22"/>
              </w:rPr>
              <w:fldChar w:fldCharType="end"/>
            </w:r>
            <w:r w:rsidR="005E7977" w:rsidRPr="00633D69">
              <w:rPr>
                <w:rFonts w:asciiTheme="minorBidi" w:hAnsiTheme="minorBidi" w:cstheme="minorBidi"/>
                <w:sz w:val="22"/>
                <w:szCs w:val="22"/>
              </w:rPr>
              <w:t>.</w:t>
            </w:r>
          </w:p>
          <w:p w14:paraId="68537800" w14:textId="77777777" w:rsidR="001564A4" w:rsidRPr="00633D69" w:rsidRDefault="001564A4" w:rsidP="000A28E2">
            <w:pPr>
              <w:pStyle w:val="Pa12"/>
              <w:rPr>
                <w:rStyle w:val="A4"/>
                <w:rFonts w:asciiTheme="minorBidi" w:hAnsiTheme="minorBidi" w:cstheme="minorBidi"/>
                <w:bCs/>
              </w:rPr>
            </w:pPr>
          </w:p>
          <w:p w14:paraId="652F7BE1" w14:textId="77777777" w:rsidR="001564A4" w:rsidRPr="00633D69" w:rsidRDefault="001564A4" w:rsidP="000A28E2">
            <w:pPr>
              <w:pStyle w:val="Pa12"/>
              <w:rPr>
                <w:rStyle w:val="A4"/>
                <w:rFonts w:asciiTheme="minorBidi" w:hAnsiTheme="minorBidi" w:cstheme="minorBidi"/>
                <w:b/>
                <w:bCs/>
              </w:rPr>
            </w:pPr>
            <w:r w:rsidRPr="00633D69">
              <w:rPr>
                <w:rStyle w:val="A4"/>
                <w:rFonts w:asciiTheme="minorBidi" w:hAnsiTheme="minorBidi" w:cstheme="minorBidi"/>
                <w:b/>
                <w:bCs/>
              </w:rPr>
              <w:t xml:space="preserve">Conclusion: </w:t>
            </w:r>
          </w:p>
          <w:p w14:paraId="0D16ABDA" w14:textId="19B9673F" w:rsidR="00090639" w:rsidRPr="00090639" w:rsidRDefault="00633D69" w:rsidP="00090639">
            <w:pPr>
              <w:rPr>
                <w:rFonts w:asciiTheme="minorBidi" w:hAnsiTheme="minorBidi" w:cstheme="minorBidi"/>
                <w:sz w:val="22"/>
                <w:szCs w:val="22"/>
              </w:rPr>
            </w:pPr>
            <w:r w:rsidRPr="00090639">
              <w:rPr>
                <w:rFonts w:asciiTheme="minorBidi" w:hAnsiTheme="minorBidi" w:cstheme="minorBidi"/>
                <w:sz w:val="22"/>
                <w:szCs w:val="22"/>
              </w:rPr>
              <w:t xml:space="preserve">The spatial detail captured by TIIC offers a rapid means to </w:t>
            </w:r>
            <w:r w:rsidR="00022FCB">
              <w:rPr>
                <w:rFonts w:asciiTheme="minorBidi" w:hAnsiTheme="minorBidi" w:cstheme="minorBidi"/>
                <w:sz w:val="22"/>
                <w:szCs w:val="22"/>
              </w:rPr>
              <w:t>create</w:t>
            </w:r>
            <w:r w:rsidRPr="00090639">
              <w:rPr>
                <w:rFonts w:asciiTheme="minorBidi" w:hAnsiTheme="minorBidi" w:cstheme="minorBidi"/>
                <w:sz w:val="22"/>
                <w:szCs w:val="22"/>
              </w:rPr>
              <w:t xml:space="preserve"> annual burned area </w:t>
            </w:r>
            <w:r w:rsidR="00022FCB">
              <w:rPr>
                <w:rFonts w:asciiTheme="minorBidi" w:hAnsiTheme="minorBidi" w:cstheme="minorBidi"/>
                <w:sz w:val="22"/>
                <w:szCs w:val="22"/>
              </w:rPr>
              <w:t>estimates that can accurately map burned areas and associated impacts at a fine resolution during a fire season. This approach can serve as a complement to</w:t>
            </w:r>
            <w:r w:rsidR="004C1441">
              <w:rPr>
                <w:rFonts w:asciiTheme="minorBidi" w:hAnsiTheme="minorBidi" w:cstheme="minorBidi"/>
                <w:sz w:val="22"/>
                <w:szCs w:val="22"/>
              </w:rPr>
              <w:t xml:space="preserve"> active fire mapping</w:t>
            </w:r>
            <w:r w:rsidR="00022FCB">
              <w:rPr>
                <w:rFonts w:asciiTheme="minorBidi" w:hAnsiTheme="minorBidi" w:cstheme="minorBidi"/>
                <w:sz w:val="22"/>
                <w:szCs w:val="22"/>
              </w:rPr>
              <w:t xml:space="preserve"> methods used for </w:t>
            </w:r>
            <w:r w:rsidR="004C1441">
              <w:rPr>
                <w:rFonts w:asciiTheme="minorBidi" w:hAnsiTheme="minorBidi" w:cstheme="minorBidi"/>
                <w:sz w:val="22"/>
                <w:szCs w:val="22"/>
              </w:rPr>
              <w:t xml:space="preserve">emergency planning. </w:t>
            </w:r>
            <w:r w:rsidR="00086964">
              <w:rPr>
                <w:rFonts w:asciiTheme="minorBidi" w:hAnsiTheme="minorBidi" w:cstheme="minorBidi"/>
                <w:sz w:val="22"/>
                <w:szCs w:val="22"/>
              </w:rPr>
              <w:t>Together, TIIC and existing delineation approaches can reduce</w:t>
            </w:r>
            <w:r w:rsidR="0064097E">
              <w:rPr>
                <w:rFonts w:asciiTheme="minorBidi" w:hAnsiTheme="minorBidi" w:cstheme="minorBidi"/>
                <w:sz w:val="22"/>
                <w:szCs w:val="22"/>
              </w:rPr>
              <w:t xml:space="preserve"> the</w:t>
            </w:r>
            <w:r w:rsidR="00086964">
              <w:rPr>
                <w:rFonts w:asciiTheme="minorBidi" w:hAnsiTheme="minorBidi" w:cstheme="minorBidi"/>
                <w:sz w:val="22"/>
                <w:szCs w:val="22"/>
              </w:rPr>
              <w:t xml:space="preserve"> latency of accurate, fine-scale mapping, while serving some of the </w:t>
            </w:r>
            <w:r w:rsidR="00FF248C">
              <w:rPr>
                <w:rFonts w:asciiTheme="minorBidi" w:hAnsiTheme="minorBidi" w:cstheme="minorBidi"/>
                <w:sz w:val="22"/>
                <w:szCs w:val="22"/>
              </w:rPr>
              <w:t>on-going</w:t>
            </w:r>
            <w:r w:rsidR="00086964">
              <w:rPr>
                <w:rFonts w:asciiTheme="minorBidi" w:hAnsiTheme="minorBidi" w:cstheme="minorBidi"/>
                <w:sz w:val="22"/>
                <w:szCs w:val="22"/>
              </w:rPr>
              <w:t xml:space="preserve"> needs of the fire management and planning communities.</w:t>
            </w:r>
          </w:p>
          <w:p w14:paraId="2A651708" w14:textId="4789E243" w:rsidR="001564A4" w:rsidRPr="006833C7" w:rsidRDefault="001564A4" w:rsidP="004B5BCA">
            <w:pPr>
              <w:pStyle w:val="Pa12"/>
              <w:rPr>
                <w:rFonts w:asciiTheme="minorBidi" w:hAnsiTheme="minorBidi" w:cstheme="minorBidi"/>
                <w:sz w:val="22"/>
                <w:szCs w:val="22"/>
              </w:rPr>
            </w:pPr>
            <w:r w:rsidRPr="00633D69">
              <w:rPr>
                <w:rFonts w:asciiTheme="minorBidi" w:hAnsiTheme="minorBidi" w:cstheme="minorBidi"/>
                <w:sz w:val="22"/>
                <w:szCs w:val="22"/>
              </w:rPr>
              <w:br/>
            </w:r>
          </w:p>
          <w:p w14:paraId="033167F9" w14:textId="72B9A62A" w:rsidR="001564A4" w:rsidRPr="006833C7" w:rsidRDefault="001564A4" w:rsidP="000A28E2">
            <w:pPr>
              <w:pStyle w:val="Pa12"/>
              <w:rPr>
                <w:rStyle w:val="A4"/>
                <w:rFonts w:asciiTheme="minorBidi" w:hAnsiTheme="minorBidi" w:cstheme="minorBidi"/>
                <w:bCs/>
              </w:rPr>
            </w:pPr>
          </w:p>
          <w:p w14:paraId="196E7BAC" w14:textId="79E61875" w:rsidR="00CF7FFC" w:rsidRPr="006833C7" w:rsidRDefault="00CF7FFC" w:rsidP="00CF7FFC">
            <w:pPr>
              <w:pStyle w:val="Pa12"/>
              <w:rPr>
                <w:rFonts w:asciiTheme="minorBidi" w:hAnsiTheme="minorBidi" w:cstheme="minorBidi"/>
                <w:sz w:val="22"/>
                <w:szCs w:val="22"/>
              </w:rPr>
            </w:pPr>
          </w:p>
          <w:p w14:paraId="7F8381F0" w14:textId="5098D1CD" w:rsidR="001564A4" w:rsidRPr="006833C7" w:rsidRDefault="001564A4" w:rsidP="000A28E2">
            <w:pPr>
              <w:pStyle w:val="Pa12"/>
              <w:rPr>
                <w:rFonts w:asciiTheme="minorBidi" w:hAnsiTheme="minorBidi" w:cstheme="minorBidi"/>
                <w:sz w:val="22"/>
                <w:szCs w:val="22"/>
              </w:rPr>
            </w:pPr>
            <w:r w:rsidRPr="006833C7">
              <w:rPr>
                <w:rFonts w:asciiTheme="minorBidi" w:hAnsiTheme="minorBidi" w:cstheme="minorBidi"/>
                <w:sz w:val="22"/>
                <w:szCs w:val="22"/>
              </w:rPr>
              <w:br/>
            </w:r>
            <w:r w:rsidRPr="006833C7">
              <w:rPr>
                <w:rFonts w:asciiTheme="minorBidi" w:hAnsiTheme="minorBidi" w:cstheme="minorBidi"/>
                <w:sz w:val="22"/>
                <w:szCs w:val="22"/>
              </w:rPr>
              <w:br/>
            </w:r>
            <w:r w:rsidRPr="006833C7">
              <w:rPr>
                <w:rFonts w:asciiTheme="minorBidi" w:hAnsiTheme="minorBidi" w:cstheme="minorBidi"/>
                <w:sz w:val="22"/>
                <w:szCs w:val="22"/>
              </w:rPr>
              <w:br/>
            </w:r>
            <w:r w:rsidRPr="006833C7">
              <w:rPr>
                <w:rFonts w:asciiTheme="minorBidi" w:hAnsiTheme="minorBidi" w:cstheme="minorBidi"/>
                <w:sz w:val="22"/>
                <w:szCs w:val="22"/>
              </w:rPr>
              <w:br/>
            </w:r>
            <w:r w:rsidRPr="006833C7">
              <w:rPr>
                <w:rFonts w:asciiTheme="minorBidi" w:hAnsiTheme="minorBidi" w:cstheme="minorBidi"/>
                <w:sz w:val="22"/>
                <w:szCs w:val="22"/>
              </w:rPr>
              <w:br/>
            </w:r>
            <w:r w:rsidRPr="006833C7">
              <w:rPr>
                <w:rFonts w:asciiTheme="minorBidi" w:hAnsiTheme="minorBidi" w:cstheme="minorBidi"/>
                <w:sz w:val="22"/>
                <w:szCs w:val="22"/>
              </w:rPr>
              <w:br/>
            </w:r>
            <w:r w:rsidRPr="006833C7">
              <w:rPr>
                <w:rFonts w:asciiTheme="minorBidi" w:hAnsiTheme="minorBidi" w:cstheme="minorBidi"/>
                <w:sz w:val="22"/>
                <w:szCs w:val="22"/>
              </w:rPr>
              <w:br/>
            </w:r>
            <w:r w:rsidRPr="006833C7">
              <w:rPr>
                <w:rFonts w:asciiTheme="minorBidi" w:hAnsiTheme="minorBidi" w:cstheme="minorBidi"/>
                <w:sz w:val="22"/>
                <w:szCs w:val="22"/>
              </w:rPr>
              <w:br/>
            </w:r>
            <w:r w:rsidRPr="006833C7">
              <w:rPr>
                <w:rFonts w:asciiTheme="minorBidi" w:hAnsiTheme="minorBidi" w:cstheme="minorBidi"/>
                <w:sz w:val="22"/>
                <w:szCs w:val="22"/>
              </w:rPr>
              <w:br/>
            </w:r>
            <w:r w:rsidRPr="006833C7">
              <w:rPr>
                <w:rFonts w:asciiTheme="minorBidi" w:hAnsiTheme="minorBidi" w:cstheme="minorBidi"/>
                <w:sz w:val="22"/>
                <w:szCs w:val="22"/>
              </w:rPr>
              <w:br/>
            </w:r>
          </w:p>
          <w:p w14:paraId="731CD908" w14:textId="77777777" w:rsidR="001564A4" w:rsidRPr="006833C7" w:rsidRDefault="001564A4" w:rsidP="000A28E2">
            <w:pPr>
              <w:pStyle w:val="Default"/>
              <w:rPr>
                <w:rFonts w:asciiTheme="minorBidi" w:hAnsiTheme="minorBidi" w:cstheme="minorBidi"/>
              </w:rPr>
            </w:pPr>
          </w:p>
          <w:p w14:paraId="34BF0A0F" w14:textId="77777777" w:rsidR="001564A4" w:rsidRPr="006833C7" w:rsidRDefault="001564A4" w:rsidP="000A28E2">
            <w:pPr>
              <w:pStyle w:val="Default"/>
              <w:rPr>
                <w:rFonts w:asciiTheme="minorBidi" w:hAnsiTheme="minorBidi" w:cstheme="minorBidi"/>
              </w:rPr>
            </w:pPr>
          </w:p>
          <w:p w14:paraId="1FF1A88F" w14:textId="77777777" w:rsidR="001564A4" w:rsidRPr="006833C7" w:rsidRDefault="001564A4" w:rsidP="000A28E2">
            <w:pPr>
              <w:pStyle w:val="Pa12"/>
              <w:rPr>
                <w:rStyle w:val="A4"/>
                <w:rFonts w:asciiTheme="minorBidi" w:hAnsiTheme="minorBidi" w:cstheme="minorBidi"/>
                <w:bCs/>
              </w:rPr>
            </w:pPr>
            <w:r w:rsidRPr="006833C7">
              <w:rPr>
                <w:rStyle w:val="A4"/>
                <w:rFonts w:asciiTheme="minorBidi" w:hAnsiTheme="minorBidi" w:cstheme="minorBidi"/>
                <w:bCs/>
              </w:rPr>
              <w:br/>
            </w:r>
            <w:r w:rsidRPr="006833C7">
              <w:rPr>
                <w:rStyle w:val="A4"/>
                <w:rFonts w:asciiTheme="minorBidi" w:hAnsiTheme="minorBidi" w:cstheme="minorBidi"/>
                <w:bCs/>
              </w:rPr>
              <w:br/>
            </w:r>
            <w:r w:rsidRPr="006833C7">
              <w:rPr>
                <w:rStyle w:val="A4"/>
                <w:rFonts w:asciiTheme="minorBidi" w:hAnsiTheme="minorBidi" w:cstheme="minorBidi"/>
                <w:bCs/>
              </w:rPr>
              <w:br/>
            </w:r>
            <w:r w:rsidRPr="006833C7">
              <w:rPr>
                <w:rStyle w:val="A4"/>
                <w:rFonts w:asciiTheme="minorBidi" w:hAnsiTheme="minorBidi" w:cstheme="minorBidi"/>
                <w:bCs/>
              </w:rPr>
              <w:br/>
            </w:r>
            <w:r w:rsidRPr="006833C7">
              <w:rPr>
                <w:rStyle w:val="A4"/>
                <w:rFonts w:asciiTheme="minorBidi" w:hAnsiTheme="minorBidi" w:cstheme="minorBidi"/>
                <w:bCs/>
              </w:rPr>
              <w:br/>
            </w:r>
            <w:r w:rsidRPr="006833C7">
              <w:rPr>
                <w:rStyle w:val="A4"/>
                <w:rFonts w:asciiTheme="minorBidi" w:hAnsiTheme="minorBidi" w:cstheme="minorBidi"/>
                <w:bCs/>
              </w:rPr>
              <w:br/>
            </w:r>
            <w:r w:rsidRPr="006833C7">
              <w:rPr>
                <w:rStyle w:val="A4"/>
                <w:rFonts w:asciiTheme="minorBidi" w:hAnsiTheme="minorBidi" w:cstheme="minorBidi"/>
                <w:bCs/>
              </w:rPr>
              <w:br/>
            </w:r>
            <w:r w:rsidRPr="006833C7">
              <w:rPr>
                <w:rStyle w:val="A4"/>
                <w:rFonts w:asciiTheme="minorBidi" w:hAnsiTheme="minorBidi" w:cstheme="minorBidi"/>
                <w:bCs/>
              </w:rPr>
              <w:br/>
            </w:r>
            <w:r w:rsidRPr="006833C7">
              <w:rPr>
                <w:rStyle w:val="A4"/>
                <w:rFonts w:asciiTheme="minorBidi" w:hAnsiTheme="minorBidi" w:cstheme="minorBidi"/>
                <w:bCs/>
              </w:rPr>
              <w:br/>
            </w:r>
            <w:r w:rsidRPr="006833C7">
              <w:rPr>
                <w:rStyle w:val="A4"/>
                <w:rFonts w:asciiTheme="minorBidi" w:hAnsiTheme="minorBidi" w:cstheme="minorBidi"/>
                <w:bCs/>
              </w:rPr>
              <w:br/>
            </w:r>
            <w:r w:rsidRPr="006833C7">
              <w:rPr>
                <w:rStyle w:val="A4"/>
                <w:rFonts w:asciiTheme="minorBidi" w:hAnsiTheme="minorBidi" w:cstheme="minorBidi"/>
                <w:bCs/>
              </w:rPr>
              <w:br/>
            </w:r>
          </w:p>
          <w:p w14:paraId="14DC37E4" w14:textId="77777777" w:rsidR="001564A4" w:rsidRPr="006833C7" w:rsidRDefault="001564A4" w:rsidP="000A28E2">
            <w:pPr>
              <w:pStyle w:val="Default"/>
              <w:rPr>
                <w:rStyle w:val="A4"/>
                <w:rFonts w:asciiTheme="minorBidi" w:hAnsiTheme="minorBidi" w:cstheme="minorBidi"/>
                <w:bCs/>
              </w:rPr>
            </w:pPr>
          </w:p>
          <w:p w14:paraId="5F58D34F" w14:textId="77777777" w:rsidR="001564A4" w:rsidRPr="006833C7" w:rsidRDefault="001564A4" w:rsidP="000A28E2">
            <w:pPr>
              <w:pStyle w:val="Default"/>
              <w:rPr>
                <w:rFonts w:asciiTheme="minorBidi" w:hAnsiTheme="minorBidi" w:cstheme="minorBidi"/>
                <w:sz w:val="22"/>
                <w:szCs w:val="22"/>
                <w:lang w:val="en-US" w:eastAsia="en-GB"/>
              </w:rPr>
            </w:pP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r w:rsidRPr="006833C7">
              <w:rPr>
                <w:rFonts w:asciiTheme="minorBidi" w:hAnsiTheme="minorBidi" w:cstheme="minorBidi"/>
                <w:sz w:val="22"/>
                <w:szCs w:val="22"/>
                <w:lang w:val="en-US" w:eastAsia="en-GB"/>
              </w:rPr>
              <w:br/>
            </w:r>
          </w:p>
        </w:tc>
      </w:tr>
    </w:tbl>
    <w:p w14:paraId="3C6575EA" w14:textId="77777777" w:rsidR="00090639" w:rsidRPr="0064097E" w:rsidRDefault="00E03AED"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rPr>
        <w:lastRenderedPageBreak/>
        <w:fldChar w:fldCharType="begin"/>
      </w:r>
      <w:r w:rsidR="004B5BCA" w:rsidRPr="0064097E">
        <w:rPr>
          <w:rFonts w:asciiTheme="minorBidi" w:hAnsiTheme="minorBidi" w:cstheme="minorBidi"/>
          <w:sz w:val="22"/>
          <w:szCs w:val="22"/>
        </w:rPr>
        <w:instrText xml:space="preserve"> ADDIN ZOTERO_BIBL {"uncited":[],"omitted":[],"custom":[]} CSL_BIBLIOGRAPHY </w:instrText>
      </w:r>
      <w:r w:rsidRPr="0064097E">
        <w:rPr>
          <w:rFonts w:asciiTheme="minorBidi" w:hAnsiTheme="minorBidi" w:cstheme="minorBidi"/>
          <w:sz w:val="22"/>
          <w:szCs w:val="22"/>
        </w:rPr>
        <w:fldChar w:fldCharType="separate"/>
      </w:r>
      <w:r w:rsidR="00090639" w:rsidRPr="0064097E">
        <w:rPr>
          <w:rFonts w:asciiTheme="minorBidi" w:hAnsiTheme="minorBidi" w:cstheme="minorBidi"/>
          <w:sz w:val="22"/>
          <w:szCs w:val="22"/>
          <w:lang w:val="en-US"/>
        </w:rPr>
        <w:t>[1]</w:t>
      </w:r>
      <w:r w:rsidR="00090639" w:rsidRPr="0064097E">
        <w:rPr>
          <w:rFonts w:asciiTheme="minorBidi" w:hAnsiTheme="minorBidi" w:cstheme="minorBidi"/>
          <w:sz w:val="22"/>
          <w:szCs w:val="22"/>
          <w:lang w:val="en-US"/>
        </w:rPr>
        <w:tab/>
        <w:t>C.C. Hanes, X. Wang, P. Jain, M.-A. Parisien, J.M. Little, M.D. Flannigan, Fire-regime changes in Canada over the last half century, Can. J. For. Res. 49 (2019) 256–269. https://doi.org/10.1139/cjfr-2018-0293.</w:t>
      </w:r>
    </w:p>
    <w:p w14:paraId="1B696602"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[2]</w:t>
      </w:r>
      <w:r w:rsidRPr="0064097E">
        <w:rPr>
          <w:rFonts w:asciiTheme="minorBidi" w:hAnsiTheme="minorBidi" w:cstheme="minorBidi"/>
          <w:sz w:val="22"/>
          <w:szCs w:val="22"/>
          <w:lang w:val="en-US"/>
        </w:rPr>
        <w:tab/>
        <w:t>B.J. Stocks, J.A. Mason, J.B. Todd, E.M. Bosch, B.M. Wotton, B.D. Amiro, M.D. Flannigan, K.G. Hirsch, K.A. Logan, D.L. Martell, W.R. Skinner, Large forest fires in Canada, 1959–1997, J. Geophys. Res. Atmospheres 107 (2002). https://doi.org/10.1029/2001JD000484.</w:t>
      </w:r>
    </w:p>
    <w:p w14:paraId="357B0DFA"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[3]</w:t>
      </w:r>
      <w:r w:rsidRPr="0064097E">
        <w:rPr>
          <w:rFonts w:asciiTheme="minorBidi" w:hAnsiTheme="minorBidi" w:cstheme="minorBidi"/>
          <w:sz w:val="22"/>
          <w:szCs w:val="22"/>
          <w:lang w:val="en-US"/>
        </w:rPr>
        <w:tab/>
        <w:t>M.D. Flannigan, K.A. Logan, B.D. Amiro, W.R. Skinner, B.J. Stocks, Future Area Burned in Canada, Clim. Change 72 (2005) 1–16. https://doi.org/10.1007/s10584-005-5935-y.</w:t>
      </w:r>
    </w:p>
    <w:p w14:paraId="4CD412F3"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[4]</w:t>
      </w:r>
      <w:r w:rsidRPr="0064097E">
        <w:rPr>
          <w:rFonts w:asciiTheme="minorBidi" w:hAnsiTheme="minorBidi" w:cstheme="minorBidi"/>
          <w:sz w:val="22"/>
          <w:szCs w:val="22"/>
          <w:lang w:val="en-US"/>
        </w:rPr>
        <w:tab/>
        <w:t>P. Jain, X. Wang, M.D. Flannigan, Trend analysis of fire season length and extreme fire weather in North America between 1979 and 2015, Int. J. Wildland Fire 26 (2017) 1009. https://doi.org/10.1071/WF17008.</w:t>
      </w:r>
    </w:p>
    <w:p w14:paraId="7EE7DA07"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[5]</w:t>
      </w:r>
      <w:r w:rsidRPr="0064097E">
        <w:rPr>
          <w:rFonts w:asciiTheme="minorBidi" w:hAnsiTheme="minorBidi" w:cstheme="minorBidi"/>
          <w:sz w:val="22"/>
          <w:szCs w:val="22"/>
          <w:lang w:val="en-US"/>
        </w:rPr>
        <w:tab/>
        <w:t>J.T. Abatzoglou, A.P. Williams, R. Barbero, Global emergence of anthropogenic climate change in Fire Weather Indices, Geophys. Res. Lett. 46 (2019) 326–336. https://doi.org/10.1029/2018GL080959.</w:t>
      </w:r>
    </w:p>
    <w:p w14:paraId="1FA43203"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[6]</w:t>
      </w:r>
      <w:r w:rsidRPr="0064097E">
        <w:rPr>
          <w:rFonts w:asciiTheme="minorBidi" w:hAnsiTheme="minorBidi" w:cstheme="minorBidi"/>
          <w:sz w:val="22"/>
          <w:szCs w:val="22"/>
          <w:lang w:val="en-US"/>
        </w:rPr>
        <w:tab/>
        <w:t>M.W. Jones, J.T. Abatzoglou, S. Veraverbeke, N. Andela, G. Lasslop, M. Forkel, A.J.P. Smith, C. Burton, R.A. Betts, G.R. Van Der Werf, S. Sitch, J.G. Canadell, C. Santín, C. Kolden, S.H. Doerr, C. Le Quéré, Global and regional trends and drivers of fire under climate change, Rev. Geophys. 60 (2022). https://doi.org/10.1029/2020RG000726.</w:t>
      </w:r>
    </w:p>
    <w:p w14:paraId="791F4D1E"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[7]</w:t>
      </w:r>
      <w:r w:rsidRPr="0064097E">
        <w:rPr>
          <w:rFonts w:asciiTheme="minorBidi" w:hAnsiTheme="minorBidi" w:cstheme="minorBidi"/>
          <w:sz w:val="22"/>
          <w:szCs w:val="22"/>
          <w:lang w:val="en-US"/>
        </w:rPr>
        <w:tab/>
        <w:t>J.M. Johnston, N. Jackson, C. McFayden, L. Ngo Phong, B. Lawrence, D. Davignon, M.J. Wooster, H. Van Mierlo, D.K. Thompson, A.S. Cantin, D. Johnston, L.M. Johnston, M. Sloane, R. Ramos, T.J. Lynham, Development of the user requirements for the Canadian WildFireSat satellite mission, Sensors 20 (2020) 5081. https://doi.org/10.3390/s20185081.</w:t>
      </w:r>
    </w:p>
    <w:p w14:paraId="40DE624C"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[8]</w:t>
      </w:r>
      <w:r w:rsidRPr="0064097E">
        <w:rPr>
          <w:rFonts w:asciiTheme="minorBidi" w:hAnsiTheme="minorBidi" w:cstheme="minorBidi"/>
          <w:sz w:val="22"/>
          <w:szCs w:val="22"/>
          <w:lang w:val="en-US"/>
        </w:rPr>
        <w:tab/>
        <w:t>Natural Resources Canada, The state of Canada’s forests. Annual report 2022, 2022. https://natural-resources.canada.ca/sites/nrcan/files/forest/sof2022/SoF_Annual2022_EN_access.pdf.</w:t>
      </w:r>
    </w:p>
    <w:p w14:paraId="2E6DD4C1"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[9]</w:t>
      </w:r>
      <w:r w:rsidRPr="0064097E">
        <w:rPr>
          <w:rFonts w:asciiTheme="minorBidi" w:hAnsiTheme="minorBidi" w:cstheme="minorBidi"/>
          <w:sz w:val="22"/>
          <w:szCs w:val="22"/>
          <w:lang w:val="en-US"/>
        </w:rPr>
        <w:tab/>
        <w:t>F. Pelletier, J.A. Cardille, M.A. Wulder, J.C. White, T. Hermosilla, Inter- and intra-year forest change detection and monitoring of aboveground biomass dynamics using Sentinel-2 and Landsat, Remote Sens. Environ. 301 (2024) 113931. https://doi.org/10.1016/j.rse.2023.113931.</w:t>
      </w:r>
    </w:p>
    <w:p w14:paraId="4687AD1B"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[10]</w:t>
      </w:r>
      <w:r w:rsidRPr="0064097E">
        <w:rPr>
          <w:rFonts w:asciiTheme="minorBidi" w:hAnsiTheme="minorBidi" w:cstheme="minorBidi"/>
          <w:sz w:val="22"/>
          <w:szCs w:val="22"/>
          <w:lang w:val="en-US"/>
        </w:rPr>
        <w:tab/>
        <w:t>F. Pelletier, J.A. Cardille, M.A. Wulder, J.C. White, T. Hermosilla, Challenges of mapping burned areas: revisiting the 2023 wildfire season in Canada, (2024).</w:t>
      </w:r>
    </w:p>
    <w:p w14:paraId="5E08B91A"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[11]</w:t>
      </w:r>
      <w:r w:rsidRPr="0064097E">
        <w:rPr>
          <w:rFonts w:asciiTheme="minorBidi" w:hAnsiTheme="minorBidi" w:cstheme="minorBidi"/>
          <w:sz w:val="22"/>
          <w:szCs w:val="22"/>
          <w:lang w:val="en-US"/>
        </w:rPr>
        <w:tab/>
        <w:t>N.C. Coops, T. Hermosilla, M.A. Wulder, J.C. White, D.K. Bolton, A thirty year, fine-scale, characterization of area burned in Canadian forests shows evidence of regionally increasing trends in the last decade, PLOS ONE 13 (2018) e0197218. https://doi.org/10.1371/journal.pone.0197218.</w:t>
      </w:r>
    </w:p>
    <w:p w14:paraId="0FB2018D" w14:textId="77777777" w:rsidR="00090639" w:rsidRPr="0064097E" w:rsidRDefault="00090639" w:rsidP="00090639">
      <w:pPr>
        <w:pStyle w:val="Bibliography"/>
        <w:rPr>
          <w:rFonts w:asciiTheme="minorBidi" w:hAnsiTheme="minorBidi" w:cstheme="minorBidi"/>
          <w:sz w:val="22"/>
          <w:szCs w:val="22"/>
          <w:lang w:val="en-US"/>
        </w:rPr>
      </w:pPr>
      <w:r w:rsidRPr="0064097E">
        <w:rPr>
          <w:rFonts w:asciiTheme="minorBidi" w:hAnsiTheme="minorBidi" w:cstheme="minorBidi"/>
          <w:sz w:val="22"/>
          <w:szCs w:val="22"/>
          <w:lang w:val="en-US"/>
        </w:rPr>
        <w:t>[12]</w:t>
      </w:r>
      <w:r w:rsidRPr="0064097E">
        <w:rPr>
          <w:rFonts w:asciiTheme="minorBidi" w:hAnsiTheme="minorBidi" w:cstheme="minorBidi"/>
          <w:sz w:val="22"/>
          <w:szCs w:val="22"/>
          <w:lang w:val="en-US"/>
        </w:rPr>
        <w:tab/>
        <w:t>J.C. White, M.A. Wulder, T. Hermosilla, N.C. Coops, G.W. Hobart, A nationwide annual characterization of 25 years of forest disturbance and recovery for Canada using Landsat time series, Remote Sens. Environ. 194 (2017) 303–321. https://doi.org/10.1016/j.rse.2017.03.035.</w:t>
      </w:r>
    </w:p>
    <w:p w14:paraId="65A73F06" w14:textId="780D75D6" w:rsidR="001F0AC4" w:rsidRDefault="00E03AED" w:rsidP="001564A4">
      <w:r w:rsidRPr="0064097E">
        <w:rPr>
          <w:rFonts w:asciiTheme="minorBidi" w:hAnsiTheme="minorBidi" w:cstheme="minorBidi"/>
          <w:sz w:val="22"/>
          <w:szCs w:val="22"/>
        </w:rPr>
        <w:fldChar w:fldCharType="end"/>
      </w:r>
    </w:p>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22FCB"/>
    <w:rsid w:val="00086964"/>
    <w:rsid w:val="00090639"/>
    <w:rsid w:val="000A432A"/>
    <w:rsid w:val="000D5887"/>
    <w:rsid w:val="000E0B3C"/>
    <w:rsid w:val="001564A4"/>
    <w:rsid w:val="001A7FF8"/>
    <w:rsid w:val="001B1D4A"/>
    <w:rsid w:val="001C7F20"/>
    <w:rsid w:val="001D17F1"/>
    <w:rsid w:val="001F0AC4"/>
    <w:rsid w:val="002901B6"/>
    <w:rsid w:val="002A2CCD"/>
    <w:rsid w:val="002C3D87"/>
    <w:rsid w:val="003209FF"/>
    <w:rsid w:val="003C71AF"/>
    <w:rsid w:val="003F6E4D"/>
    <w:rsid w:val="00407BD1"/>
    <w:rsid w:val="00472585"/>
    <w:rsid w:val="004B31A9"/>
    <w:rsid w:val="004B5BCA"/>
    <w:rsid w:val="004C1441"/>
    <w:rsid w:val="0051574E"/>
    <w:rsid w:val="005A1FA0"/>
    <w:rsid w:val="005E7977"/>
    <w:rsid w:val="00633D69"/>
    <w:rsid w:val="0064097E"/>
    <w:rsid w:val="006833C7"/>
    <w:rsid w:val="006E5428"/>
    <w:rsid w:val="0073388B"/>
    <w:rsid w:val="0077275A"/>
    <w:rsid w:val="008803FA"/>
    <w:rsid w:val="00A01D5C"/>
    <w:rsid w:val="00A90D7A"/>
    <w:rsid w:val="00B12E32"/>
    <w:rsid w:val="00C53679"/>
    <w:rsid w:val="00CA52CD"/>
    <w:rsid w:val="00CF7FFC"/>
    <w:rsid w:val="00D16297"/>
    <w:rsid w:val="00D80445"/>
    <w:rsid w:val="00DF022A"/>
    <w:rsid w:val="00E03AED"/>
    <w:rsid w:val="00E0700F"/>
    <w:rsid w:val="00E61EB5"/>
    <w:rsid w:val="00E63A64"/>
    <w:rsid w:val="00EC3EFE"/>
    <w:rsid w:val="00FF248C"/>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Bibliography">
    <w:name w:val="Bibliography"/>
    <w:basedOn w:val="Normal"/>
    <w:next w:val="Normal"/>
    <w:uiPriority w:val="37"/>
    <w:unhideWhenUsed/>
    <w:rsid w:val="00E03AED"/>
    <w:pPr>
      <w:tabs>
        <w:tab w:val="left" w:pos="500"/>
      </w:tabs>
      <w:ind w:left="504" w:hanging="5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6752</Words>
  <Characters>38492</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Flavie Pelletier</cp:lastModifiedBy>
  <cp:revision>3</cp:revision>
  <dcterms:created xsi:type="dcterms:W3CDTF">2024-03-27T18:05:00Z</dcterms:created>
  <dcterms:modified xsi:type="dcterms:W3CDTF">2024-03-27T18:43:00Z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ZOTERO_PREF_1">
    <vt:lpwstr>&lt;data data-version="3" zotero-version="6.0.37"&gt;&lt;session id="raXecGqO"/&gt;&lt;style id="http://www.zotero.org/styles/elsevier-with-titles" hasBibliography="1" bibliographyStyleHasBeenSet="1"/&gt;&lt;prefs&gt;&lt;pref name="fieldType" value="Field"/&gt;&lt;pref name="automaticJou</vt:lpwstr>
  </property>
  <property fmtid="{D5CDD505-2E9C-101B-9397-08002B2CF9AE}" pid="5" name="ZOTERO_PREF_2">
    <vt:lpwstr>rnalAbbreviations" value="true"/&gt;&lt;/prefs&gt;&lt;/data&gt;</vt:lpwstr>
  </property>
</Properties>
</file>