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05B5857D" w:rsidR="001564A4" w:rsidRPr="0050053A" w:rsidRDefault="00F15865" w:rsidP="000A28E2">
            <w:pPr>
              <w:spacing w:before="120" w:after="120"/>
              <w:rPr>
                <w:rFonts w:ascii="Arial" w:hAnsi="Arial" w:cs="Arial"/>
                <w:b/>
                <w:sz w:val="22"/>
                <w:szCs w:val="22"/>
                <w:lang w:val="en-US" w:eastAsia="zh-CN"/>
              </w:rPr>
            </w:pPr>
            <w:r w:rsidRPr="00F15865">
              <w:rPr>
                <w:rFonts w:ascii="Arial" w:hAnsi="Arial" w:cs="Arial"/>
                <w:b/>
                <w:bCs/>
                <w:sz w:val="22"/>
                <w:szCs w:val="22"/>
                <w:lang w:eastAsia="en-GB"/>
              </w:rPr>
              <w:t>Blood eosinophils to guide GP treated COPD exacerbations: an RCT</w:t>
            </w:r>
          </w:p>
        </w:tc>
      </w:tr>
      <w:tr w:rsidR="001564A4" w:rsidRPr="0050053A" w14:paraId="0E2E035C" w14:textId="77777777" w:rsidTr="000A28E2">
        <w:trPr>
          <w:jc w:val="center"/>
        </w:trPr>
        <w:tc>
          <w:tcPr>
            <w:tcW w:w="8640" w:type="dxa"/>
            <w:shd w:val="clear" w:color="auto" w:fill="auto"/>
          </w:tcPr>
          <w:p w14:paraId="73B55295" w14:textId="2FC29754" w:rsidR="001564A4" w:rsidRPr="00413B94" w:rsidRDefault="00E67B75" w:rsidP="00E67B75">
            <w:pPr>
              <w:spacing w:before="120" w:after="120"/>
              <w:rPr>
                <w:rFonts w:ascii="Arial" w:hAnsi="Arial" w:cs="Arial"/>
                <w:sz w:val="22"/>
                <w:szCs w:val="22"/>
                <w:u w:val="single"/>
                <w:lang w:eastAsia="zh-CN"/>
              </w:rPr>
            </w:pPr>
            <w:r w:rsidRPr="00E67B75">
              <w:rPr>
                <w:rFonts w:ascii="Arial" w:hAnsi="Arial" w:cs="Arial"/>
                <w:sz w:val="22"/>
                <w:szCs w:val="22"/>
                <w:lang w:eastAsia="en-GB"/>
              </w:rPr>
              <w:t>Sanjay Ramakrishnan</w:t>
            </w:r>
            <w:r w:rsidRPr="00E67B75">
              <w:rPr>
                <w:rFonts w:ascii="Arial" w:hAnsi="Arial" w:cs="Arial"/>
                <w:sz w:val="22"/>
                <w:szCs w:val="22"/>
                <w:vertAlign w:val="superscript"/>
                <w:lang w:eastAsia="en-GB"/>
              </w:rPr>
              <w:t>1,2</w:t>
            </w:r>
            <w:r w:rsidRPr="00E67B75">
              <w:rPr>
                <w:rFonts w:ascii="Arial" w:hAnsi="Arial" w:cs="Arial"/>
                <w:sz w:val="22"/>
                <w:szCs w:val="22"/>
                <w:lang w:eastAsia="en-GB"/>
              </w:rPr>
              <w:t>, Helen Jeffers</w:t>
            </w:r>
            <w:r w:rsidRPr="00E67B75">
              <w:rPr>
                <w:rFonts w:ascii="Arial" w:hAnsi="Arial" w:cs="Arial"/>
                <w:sz w:val="22"/>
                <w:szCs w:val="22"/>
                <w:vertAlign w:val="superscript"/>
                <w:lang w:eastAsia="en-GB"/>
              </w:rPr>
              <w:t>1</w:t>
            </w:r>
            <w:r w:rsidRPr="00E67B75">
              <w:rPr>
                <w:rFonts w:ascii="Arial" w:hAnsi="Arial" w:cs="Arial"/>
                <w:sz w:val="22"/>
                <w:szCs w:val="22"/>
                <w:lang w:eastAsia="en-GB"/>
              </w:rPr>
              <w:t>, Beverly Langford-Wiley</w:t>
            </w:r>
            <w:r w:rsidRPr="00E67B75">
              <w:rPr>
                <w:rFonts w:ascii="Arial" w:hAnsi="Arial" w:cs="Arial"/>
                <w:sz w:val="22"/>
                <w:szCs w:val="22"/>
                <w:vertAlign w:val="superscript"/>
                <w:lang w:eastAsia="en-GB"/>
              </w:rPr>
              <w:t>1,3</w:t>
            </w:r>
            <w:r w:rsidRPr="00E67B75">
              <w:rPr>
                <w:rFonts w:ascii="Arial" w:hAnsi="Arial" w:cs="Arial"/>
                <w:sz w:val="22"/>
                <w:szCs w:val="22"/>
                <w:lang w:eastAsia="en-GB"/>
              </w:rPr>
              <w:t>, Joanne Davies</w:t>
            </w:r>
            <w:r w:rsidRPr="00E67B75">
              <w:rPr>
                <w:rFonts w:ascii="Arial" w:hAnsi="Arial" w:cs="Arial"/>
                <w:sz w:val="22"/>
                <w:szCs w:val="22"/>
                <w:vertAlign w:val="superscript"/>
                <w:lang w:eastAsia="en-GB"/>
              </w:rPr>
              <w:t>1</w:t>
            </w:r>
            <w:r w:rsidRPr="00E67B75">
              <w:rPr>
                <w:rFonts w:ascii="Arial" w:hAnsi="Arial" w:cs="Arial"/>
                <w:sz w:val="22"/>
                <w:szCs w:val="22"/>
                <w:lang w:eastAsia="en-GB"/>
              </w:rPr>
              <w:t>, Samantha J Thulborn</w:t>
            </w:r>
            <w:r w:rsidRPr="00E67B75">
              <w:rPr>
                <w:rFonts w:ascii="Arial" w:hAnsi="Arial" w:cs="Arial"/>
                <w:sz w:val="22"/>
                <w:szCs w:val="22"/>
                <w:vertAlign w:val="superscript"/>
                <w:lang w:eastAsia="en-GB"/>
              </w:rPr>
              <w:t>1,3</w:t>
            </w:r>
            <w:r w:rsidRPr="00E67B75">
              <w:rPr>
                <w:rFonts w:ascii="Arial" w:hAnsi="Arial" w:cs="Arial"/>
                <w:sz w:val="22"/>
                <w:szCs w:val="22"/>
                <w:lang w:eastAsia="en-GB"/>
              </w:rPr>
              <w:t>, Mahdi Mahdi</w:t>
            </w:r>
            <w:r w:rsidRPr="00E67B75">
              <w:rPr>
                <w:rFonts w:ascii="Arial" w:hAnsi="Arial" w:cs="Arial"/>
                <w:sz w:val="22"/>
                <w:szCs w:val="22"/>
                <w:vertAlign w:val="superscript"/>
                <w:lang w:eastAsia="en-GB"/>
              </w:rPr>
              <w:t>1,3</w:t>
            </w:r>
            <w:r w:rsidRPr="00E67B75">
              <w:rPr>
                <w:rFonts w:ascii="Arial" w:hAnsi="Arial" w:cs="Arial"/>
                <w:sz w:val="22"/>
                <w:szCs w:val="22"/>
                <w:lang w:eastAsia="en-GB"/>
              </w:rPr>
              <w:t>, Christine A’Court</w:t>
            </w:r>
            <w:r w:rsidRPr="00E67B75">
              <w:rPr>
                <w:rFonts w:ascii="Arial" w:hAnsi="Arial" w:cs="Arial"/>
                <w:sz w:val="22"/>
                <w:szCs w:val="22"/>
                <w:vertAlign w:val="superscript"/>
                <w:lang w:eastAsia="en-GB"/>
              </w:rPr>
              <w:t>4</w:t>
            </w:r>
            <w:r w:rsidRPr="00E67B75">
              <w:rPr>
                <w:rFonts w:ascii="Arial" w:hAnsi="Arial" w:cs="Arial"/>
                <w:sz w:val="22"/>
                <w:szCs w:val="22"/>
                <w:lang w:eastAsia="en-GB"/>
              </w:rPr>
              <w:t>, Ian Binnian</w:t>
            </w:r>
            <w:r w:rsidRPr="00E67B75">
              <w:rPr>
                <w:rFonts w:ascii="Arial" w:hAnsi="Arial" w:cs="Arial"/>
                <w:sz w:val="22"/>
                <w:szCs w:val="22"/>
                <w:vertAlign w:val="superscript"/>
                <w:lang w:eastAsia="en-GB"/>
              </w:rPr>
              <w:t>5</w:t>
            </w:r>
            <w:r w:rsidRPr="00E67B75">
              <w:rPr>
                <w:rFonts w:ascii="Arial" w:hAnsi="Arial" w:cs="Arial"/>
                <w:sz w:val="22"/>
                <w:szCs w:val="22"/>
                <w:lang w:eastAsia="en-GB"/>
              </w:rPr>
              <w:t>, Stephen Bright</w:t>
            </w:r>
            <w:r w:rsidRPr="00E67B75">
              <w:rPr>
                <w:rFonts w:ascii="Arial" w:hAnsi="Arial" w:cs="Arial"/>
                <w:sz w:val="22"/>
                <w:szCs w:val="22"/>
                <w:vertAlign w:val="superscript"/>
                <w:lang w:eastAsia="en-GB"/>
              </w:rPr>
              <w:t>6</w:t>
            </w:r>
            <w:r w:rsidRPr="00E67B75">
              <w:rPr>
                <w:rFonts w:ascii="Arial" w:hAnsi="Arial" w:cs="Arial"/>
                <w:sz w:val="22"/>
                <w:szCs w:val="22"/>
                <w:lang w:eastAsia="en-GB"/>
              </w:rPr>
              <w:t>, Simon Cartwright</w:t>
            </w:r>
            <w:r w:rsidRPr="00E67B75">
              <w:rPr>
                <w:rFonts w:ascii="Arial" w:hAnsi="Arial" w:cs="Arial"/>
                <w:sz w:val="22"/>
                <w:szCs w:val="22"/>
                <w:vertAlign w:val="superscript"/>
                <w:lang w:eastAsia="en-GB"/>
              </w:rPr>
              <w:t>7</w:t>
            </w:r>
            <w:r w:rsidRPr="00E67B75">
              <w:rPr>
                <w:rFonts w:ascii="Arial" w:hAnsi="Arial" w:cs="Arial"/>
                <w:sz w:val="22"/>
                <w:szCs w:val="22"/>
                <w:lang w:eastAsia="en-GB"/>
              </w:rPr>
              <w:t>, Victoria Glover</w:t>
            </w:r>
            <w:r w:rsidRPr="00E67B75">
              <w:rPr>
                <w:rFonts w:ascii="Arial" w:hAnsi="Arial" w:cs="Arial"/>
                <w:sz w:val="22"/>
                <w:szCs w:val="22"/>
                <w:vertAlign w:val="superscript"/>
                <w:lang w:eastAsia="en-GB"/>
              </w:rPr>
              <w:t>7</w:t>
            </w:r>
            <w:r w:rsidRPr="00E67B75">
              <w:rPr>
                <w:rFonts w:ascii="Arial" w:hAnsi="Arial" w:cs="Arial"/>
                <w:sz w:val="22"/>
                <w:szCs w:val="22"/>
                <w:lang w:eastAsia="en-GB"/>
              </w:rPr>
              <w:t>, Alison Law</w:t>
            </w:r>
            <w:r w:rsidRPr="00E67B75">
              <w:rPr>
                <w:rFonts w:ascii="Arial" w:hAnsi="Arial" w:cs="Arial"/>
                <w:sz w:val="22"/>
                <w:szCs w:val="22"/>
                <w:vertAlign w:val="superscript"/>
                <w:lang w:eastAsia="en-GB"/>
              </w:rPr>
              <w:t>7,8</w:t>
            </w:r>
            <w:r w:rsidRPr="00E67B75">
              <w:rPr>
                <w:rFonts w:ascii="Arial" w:hAnsi="Arial" w:cs="Arial"/>
                <w:sz w:val="22"/>
                <w:szCs w:val="22"/>
                <w:lang w:eastAsia="en-GB"/>
              </w:rPr>
              <w:t>, Robin Fox</w:t>
            </w:r>
            <w:r w:rsidRPr="00E67B75">
              <w:rPr>
                <w:rFonts w:ascii="Arial" w:hAnsi="Arial" w:cs="Arial"/>
                <w:sz w:val="22"/>
                <w:szCs w:val="22"/>
                <w:vertAlign w:val="superscript"/>
                <w:lang w:eastAsia="en-GB"/>
              </w:rPr>
              <w:t>9</w:t>
            </w:r>
            <w:r w:rsidRPr="00E67B75">
              <w:rPr>
                <w:rFonts w:ascii="Arial" w:hAnsi="Arial" w:cs="Arial"/>
                <w:sz w:val="22"/>
                <w:szCs w:val="22"/>
                <w:lang w:eastAsia="en-GB"/>
              </w:rPr>
              <w:t>, Adam Jones</w:t>
            </w:r>
            <w:r w:rsidRPr="00E67B75">
              <w:rPr>
                <w:rFonts w:ascii="Arial" w:hAnsi="Arial" w:cs="Arial"/>
                <w:sz w:val="22"/>
                <w:szCs w:val="22"/>
                <w:vertAlign w:val="superscript"/>
                <w:lang w:eastAsia="en-GB"/>
              </w:rPr>
              <w:t>10</w:t>
            </w:r>
            <w:r w:rsidRPr="00E67B75">
              <w:rPr>
                <w:rFonts w:ascii="Arial" w:hAnsi="Arial" w:cs="Arial"/>
                <w:sz w:val="22"/>
                <w:szCs w:val="22"/>
                <w:lang w:eastAsia="en-GB"/>
              </w:rPr>
              <w:t>, Christopher Davies</w:t>
            </w:r>
            <w:r w:rsidRPr="00E67B75">
              <w:rPr>
                <w:rFonts w:ascii="Arial" w:hAnsi="Arial" w:cs="Arial"/>
                <w:sz w:val="22"/>
                <w:szCs w:val="22"/>
                <w:vertAlign w:val="superscript"/>
                <w:lang w:eastAsia="en-GB"/>
              </w:rPr>
              <w:t>11</w:t>
            </w:r>
            <w:r w:rsidRPr="00E67B75">
              <w:rPr>
                <w:rFonts w:ascii="Arial" w:hAnsi="Arial" w:cs="Arial"/>
                <w:sz w:val="22"/>
                <w:szCs w:val="22"/>
                <w:lang w:eastAsia="en-GB"/>
              </w:rPr>
              <w:t>, David Copping</w:t>
            </w:r>
            <w:r w:rsidRPr="00E67B75">
              <w:rPr>
                <w:rFonts w:ascii="Arial" w:hAnsi="Arial" w:cs="Arial"/>
                <w:sz w:val="22"/>
                <w:szCs w:val="22"/>
                <w:vertAlign w:val="superscript"/>
                <w:lang w:eastAsia="en-GB"/>
              </w:rPr>
              <w:t>12</w:t>
            </w:r>
            <w:r w:rsidRPr="00E67B75">
              <w:rPr>
                <w:rFonts w:ascii="Arial" w:hAnsi="Arial" w:cs="Arial"/>
                <w:sz w:val="22"/>
                <w:szCs w:val="22"/>
                <w:lang w:eastAsia="en-GB"/>
              </w:rPr>
              <w:t>, Richard EK Russell</w:t>
            </w:r>
            <w:r w:rsidRPr="00E67B75">
              <w:rPr>
                <w:rFonts w:ascii="Arial" w:hAnsi="Arial" w:cs="Arial"/>
                <w:sz w:val="22"/>
                <w:szCs w:val="22"/>
                <w:vertAlign w:val="superscript"/>
                <w:lang w:eastAsia="en-GB"/>
              </w:rPr>
              <w:t>1,3,13</w:t>
            </w:r>
            <w:r w:rsidRPr="00E67B75">
              <w:rPr>
                <w:rFonts w:ascii="Arial" w:hAnsi="Arial" w:cs="Arial"/>
                <w:sz w:val="22"/>
                <w:szCs w:val="22"/>
                <w:lang w:eastAsia="en-GB"/>
              </w:rPr>
              <w:t>, Mona Bafadhel</w:t>
            </w:r>
            <w:r w:rsidRPr="00E67B75">
              <w:rPr>
                <w:rFonts w:ascii="Arial" w:hAnsi="Arial" w:cs="Arial"/>
                <w:sz w:val="22"/>
                <w:szCs w:val="22"/>
                <w:vertAlign w:val="superscript"/>
                <w:lang w:eastAsia="en-GB"/>
              </w:rPr>
              <w:t>1, 13,</w:t>
            </w:r>
          </w:p>
        </w:tc>
      </w:tr>
      <w:tr w:rsidR="001564A4" w:rsidRPr="0050053A" w14:paraId="385A19D9" w14:textId="77777777" w:rsidTr="000A28E2">
        <w:trPr>
          <w:trHeight w:val="136"/>
          <w:jc w:val="center"/>
        </w:trPr>
        <w:tc>
          <w:tcPr>
            <w:tcW w:w="8640" w:type="dxa"/>
            <w:shd w:val="clear" w:color="auto" w:fill="auto"/>
          </w:tcPr>
          <w:p w14:paraId="131A581E" w14:textId="77777777" w:rsidR="00976C14" w:rsidRDefault="001564A4" w:rsidP="000A28E2">
            <w:pPr>
              <w:spacing w:before="120" w:after="120"/>
              <w:rPr>
                <w:rFonts w:ascii="Arial" w:hAnsi="Arial" w:cs="Arial"/>
                <w:i/>
                <w:sz w:val="22"/>
                <w:szCs w:val="22"/>
                <w:lang w:eastAsia="en-GB"/>
              </w:rPr>
            </w:pPr>
            <w:r w:rsidRPr="0050053A">
              <w:rPr>
                <w:rFonts w:ascii="Arial" w:hAnsi="Arial" w:cs="Arial"/>
                <w:i/>
                <w:sz w:val="22"/>
                <w:szCs w:val="22"/>
                <w:vertAlign w:val="superscript"/>
                <w:lang w:val="en-US" w:eastAsia="en-GB"/>
              </w:rPr>
              <w:t>1</w:t>
            </w:r>
            <w:r w:rsidR="0048479B" w:rsidRPr="0048479B">
              <w:rPr>
                <w:rFonts w:ascii="Arial" w:eastAsiaTheme="minorHAnsi" w:hAnsi="Arial" w:cs="Arial"/>
                <w:sz w:val="22"/>
                <w:szCs w:val="22"/>
              </w:rPr>
              <w:t xml:space="preserve"> </w:t>
            </w:r>
            <w:r w:rsidR="0048479B" w:rsidRPr="0048479B">
              <w:rPr>
                <w:rFonts w:ascii="Arial" w:hAnsi="Arial" w:cs="Arial"/>
                <w:i/>
                <w:sz w:val="22"/>
                <w:szCs w:val="22"/>
                <w:lang w:eastAsia="en-GB"/>
              </w:rPr>
              <w:t>Respiratory Medicine Unit, Nuffield Department of Clinical Medicine, University of Oxford, UK</w:t>
            </w:r>
          </w:p>
          <w:p w14:paraId="3BD815D8" w14:textId="761808E6" w:rsidR="001564A4" w:rsidRPr="002E2531" w:rsidRDefault="0048479B" w:rsidP="000A28E2">
            <w:pPr>
              <w:spacing w:before="120" w:after="120"/>
              <w:rPr>
                <w:rFonts w:ascii="Arial" w:hAnsi="Arial" w:cs="Arial"/>
                <w:i/>
                <w:sz w:val="22"/>
                <w:szCs w:val="22"/>
                <w:lang w:eastAsia="en-GB"/>
              </w:rPr>
            </w:pPr>
            <w:r w:rsidRPr="002E2531">
              <w:rPr>
                <w:rFonts w:ascii="Arial" w:hAnsi="Arial" w:cs="Arial"/>
                <w:i/>
                <w:sz w:val="22"/>
                <w:szCs w:val="22"/>
                <w:vertAlign w:val="superscript"/>
                <w:lang w:val="en-US" w:eastAsia="en-GB"/>
              </w:rPr>
              <w:t xml:space="preserve"> </w:t>
            </w:r>
            <w:r w:rsidR="001564A4" w:rsidRPr="002E2531">
              <w:rPr>
                <w:rFonts w:ascii="Arial" w:hAnsi="Arial" w:cs="Arial"/>
                <w:i/>
                <w:sz w:val="22"/>
                <w:szCs w:val="22"/>
                <w:vertAlign w:val="superscript"/>
                <w:lang w:val="en-US" w:eastAsia="en-GB"/>
              </w:rPr>
              <w:t>2</w:t>
            </w:r>
            <w:r w:rsidR="002E2531" w:rsidRPr="002E2531">
              <w:rPr>
                <w:rFonts w:ascii="Arial" w:hAnsi="Arial" w:cs="Arial"/>
                <w:i/>
                <w:sz w:val="22"/>
                <w:szCs w:val="22"/>
                <w:lang w:eastAsia="en-GB"/>
              </w:rPr>
              <w:t>School of Medical and Health Sciences, Edith Cowan University, Australia</w:t>
            </w:r>
          </w:p>
          <w:p w14:paraId="7EABC926" w14:textId="74B33469" w:rsidR="00BB6C85" w:rsidRPr="00BB6C85" w:rsidRDefault="001564A4" w:rsidP="00BB6C85">
            <w:pPr>
              <w:spacing w:before="120" w:after="120"/>
              <w:rPr>
                <w:rFonts w:ascii="Arial" w:hAnsi="Arial" w:cs="Arial"/>
                <w:i/>
                <w:sz w:val="22"/>
                <w:szCs w:val="22"/>
                <w:lang w:eastAsia="en-GB"/>
              </w:rPr>
            </w:pPr>
            <w:r w:rsidRPr="00BB6C85">
              <w:rPr>
                <w:rFonts w:ascii="Arial" w:hAnsi="Arial" w:cs="Arial"/>
                <w:i/>
                <w:sz w:val="22"/>
                <w:szCs w:val="22"/>
                <w:vertAlign w:val="superscript"/>
                <w:lang w:val="en-US" w:eastAsia="en-GB"/>
              </w:rPr>
              <w:t>3</w:t>
            </w:r>
            <w:r w:rsidR="00976C14">
              <w:rPr>
                <w:rFonts w:ascii="Arial" w:hAnsi="Arial" w:cs="Arial"/>
                <w:i/>
                <w:sz w:val="22"/>
                <w:szCs w:val="22"/>
                <w:vertAlign w:val="superscript"/>
                <w:lang w:val="en-US" w:eastAsia="en-GB"/>
              </w:rPr>
              <w:t xml:space="preserve"> </w:t>
            </w:r>
            <w:r w:rsidR="00BB6C85" w:rsidRPr="00BB6C85">
              <w:rPr>
                <w:rFonts w:ascii="Arial" w:hAnsi="Arial" w:cs="Arial"/>
                <w:i/>
                <w:sz w:val="22"/>
                <w:szCs w:val="22"/>
                <w:lang w:eastAsia="en-GB"/>
              </w:rPr>
              <w:t>NIHR Oxford Biomedical Research Centre, University of Oxford, UK</w:t>
            </w:r>
          </w:p>
          <w:p w14:paraId="1A41F0AB" w14:textId="77777777" w:rsidR="005A7930" w:rsidRDefault="001564A4" w:rsidP="000A28E2">
            <w:pPr>
              <w:spacing w:before="120" w:after="120"/>
              <w:rPr>
                <w:rFonts w:ascii="Arial" w:hAnsi="Arial" w:cs="Arial"/>
                <w:i/>
                <w:sz w:val="22"/>
                <w:szCs w:val="22"/>
                <w:lang w:eastAsia="en-GB"/>
              </w:rPr>
            </w:pPr>
            <w:r w:rsidRPr="0050053A">
              <w:rPr>
                <w:rFonts w:ascii="Arial" w:hAnsi="Arial" w:cs="Arial"/>
                <w:i/>
                <w:sz w:val="22"/>
                <w:szCs w:val="22"/>
                <w:vertAlign w:val="superscript"/>
                <w:lang w:val="en-US" w:eastAsia="en-GB"/>
              </w:rPr>
              <w:t>4</w:t>
            </w:r>
            <w:r w:rsidR="00976C14">
              <w:rPr>
                <w:rFonts w:ascii="Arial" w:hAnsi="Arial" w:cs="Arial"/>
                <w:i/>
                <w:sz w:val="22"/>
                <w:szCs w:val="22"/>
                <w:vertAlign w:val="superscript"/>
                <w:lang w:val="en-US" w:eastAsia="en-GB"/>
              </w:rPr>
              <w:t xml:space="preserve"> </w:t>
            </w:r>
            <w:r w:rsidR="003B3487" w:rsidRPr="003B3487">
              <w:rPr>
                <w:rFonts w:ascii="Arial" w:hAnsi="Arial" w:cs="Arial"/>
                <w:i/>
                <w:sz w:val="22"/>
                <w:szCs w:val="22"/>
                <w:lang w:eastAsia="en-GB"/>
              </w:rPr>
              <w:t>Broadshires Health Centre, Carterton, UK</w:t>
            </w:r>
          </w:p>
          <w:p w14:paraId="77D52B4A" w14:textId="511B2AB3" w:rsidR="001564A4" w:rsidRPr="005A7930" w:rsidRDefault="003B3487" w:rsidP="005A7930">
            <w:pPr>
              <w:spacing w:before="120" w:after="120"/>
              <w:rPr>
                <w:rFonts w:ascii="Arial" w:hAnsi="Arial" w:cs="Arial"/>
                <w:i/>
                <w:sz w:val="22"/>
                <w:szCs w:val="22"/>
                <w:lang w:eastAsia="en-GB"/>
              </w:rPr>
            </w:pPr>
            <w:r w:rsidRPr="003B3487">
              <w:rPr>
                <w:rFonts w:ascii="Arial" w:hAnsi="Arial" w:cs="Arial"/>
                <w:i/>
                <w:sz w:val="22"/>
                <w:szCs w:val="22"/>
                <w:vertAlign w:val="superscript"/>
                <w:lang w:val="en-US" w:eastAsia="en-GB"/>
              </w:rPr>
              <w:t xml:space="preserve"> </w:t>
            </w:r>
            <w:r w:rsidR="001564A4" w:rsidRPr="0050053A">
              <w:rPr>
                <w:rFonts w:ascii="Arial" w:hAnsi="Arial" w:cs="Arial"/>
                <w:i/>
                <w:sz w:val="22"/>
                <w:szCs w:val="22"/>
                <w:vertAlign w:val="superscript"/>
                <w:lang w:val="en-US" w:eastAsia="en-GB"/>
              </w:rPr>
              <w:t>5</w:t>
            </w:r>
            <w:r w:rsidR="00355E96" w:rsidRPr="009E440C">
              <w:rPr>
                <w:rFonts w:ascii="Arial" w:hAnsi="Arial" w:cs="Arial"/>
                <w:shd w:val="clear" w:color="auto" w:fill="FFFFFF"/>
              </w:rPr>
              <w:t xml:space="preserve"> </w:t>
            </w:r>
            <w:r w:rsidR="00355E96" w:rsidRPr="00976C14">
              <w:rPr>
                <w:rFonts w:ascii="Arial" w:hAnsi="Arial" w:cs="Arial"/>
                <w:i/>
                <w:iCs/>
                <w:sz w:val="22"/>
                <w:szCs w:val="22"/>
                <w:shd w:val="clear" w:color="auto" w:fill="FFFFFF"/>
              </w:rPr>
              <w:t>Eynsham Medical Group, Eynsham, UK</w:t>
            </w:r>
          </w:p>
          <w:p w14:paraId="66FEE396" w14:textId="2B8DF756" w:rsidR="00976C14" w:rsidRPr="0050053A" w:rsidRDefault="005A7930" w:rsidP="00976C14">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6</w:t>
            </w:r>
            <w:r w:rsidR="000740B2" w:rsidRPr="000740B2">
              <w:rPr>
                <w:rFonts w:ascii="Arial" w:eastAsiaTheme="minorHAnsi" w:hAnsi="Arial" w:cs="Arial"/>
                <w:sz w:val="22"/>
                <w:szCs w:val="22"/>
                <w:shd w:val="clear" w:color="auto" w:fill="FFFFFF"/>
              </w:rPr>
              <w:t xml:space="preserve"> </w:t>
            </w:r>
            <w:r w:rsidR="000740B2" w:rsidRPr="000740B2">
              <w:rPr>
                <w:rFonts w:ascii="Arial" w:hAnsi="Arial" w:cs="Arial"/>
                <w:i/>
                <w:sz w:val="22"/>
                <w:szCs w:val="22"/>
                <w:lang w:eastAsia="en-GB"/>
              </w:rPr>
              <w:t>Windrush Medical Practice, Witney, UK</w:t>
            </w:r>
          </w:p>
          <w:p w14:paraId="5B6DDF56" w14:textId="6CD9DB10" w:rsidR="00976C14" w:rsidRPr="0050053A" w:rsidRDefault="000740B2" w:rsidP="00976C14">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 xml:space="preserve">7 </w:t>
            </w:r>
            <w:r w:rsidR="008916CB" w:rsidRPr="008916CB">
              <w:rPr>
                <w:rFonts w:ascii="Arial" w:hAnsi="Arial" w:cs="Arial"/>
                <w:i/>
                <w:sz w:val="22"/>
                <w:szCs w:val="22"/>
                <w:lang w:eastAsia="en-GB"/>
              </w:rPr>
              <w:t>White Horse Medical Practice, Faringdon, UK</w:t>
            </w:r>
          </w:p>
          <w:p w14:paraId="211DCB06" w14:textId="72DBF7C9" w:rsidR="00976C14" w:rsidRPr="0050053A" w:rsidRDefault="008916CB" w:rsidP="00976C14">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 xml:space="preserve">8 </w:t>
            </w:r>
            <w:r w:rsidR="009B0154" w:rsidRPr="009B0154">
              <w:rPr>
                <w:rFonts w:ascii="Arial" w:hAnsi="Arial" w:cs="Arial"/>
                <w:i/>
                <w:sz w:val="22"/>
                <w:szCs w:val="22"/>
                <w:lang w:eastAsia="en-GB"/>
              </w:rPr>
              <w:t>Montgomery House Surgery, Bicester, UK</w:t>
            </w:r>
          </w:p>
          <w:p w14:paraId="76B09054" w14:textId="77777777" w:rsidR="00D84BD2" w:rsidRPr="00D84BD2" w:rsidRDefault="00FB4DFA" w:rsidP="00D84BD2">
            <w:pPr>
              <w:spacing w:before="120" w:after="120"/>
              <w:rPr>
                <w:rFonts w:ascii="Arial" w:hAnsi="Arial" w:cs="Arial"/>
                <w:i/>
                <w:vertAlign w:val="superscript"/>
                <w:lang w:eastAsia="en-GB"/>
              </w:rPr>
            </w:pPr>
            <w:r>
              <w:rPr>
                <w:rFonts w:ascii="Arial" w:hAnsi="Arial" w:cs="Arial"/>
                <w:i/>
                <w:sz w:val="22"/>
                <w:szCs w:val="22"/>
                <w:vertAlign w:val="superscript"/>
                <w:lang w:val="en-US" w:eastAsia="en-GB"/>
              </w:rPr>
              <w:t>9</w:t>
            </w:r>
            <w:r w:rsidR="00D84BD2">
              <w:rPr>
                <w:rFonts w:ascii="Arial" w:hAnsi="Arial" w:cs="Arial"/>
                <w:i/>
                <w:sz w:val="22"/>
                <w:szCs w:val="22"/>
                <w:vertAlign w:val="superscript"/>
                <w:lang w:val="en-US" w:eastAsia="en-GB"/>
              </w:rPr>
              <w:t xml:space="preserve"> </w:t>
            </w:r>
            <w:r w:rsidR="00D84BD2" w:rsidRPr="00D84BD2">
              <w:rPr>
                <w:rFonts w:ascii="Arial" w:hAnsi="Arial" w:cs="Arial"/>
                <w:i/>
                <w:lang w:eastAsia="en-GB"/>
              </w:rPr>
              <w:t>Bicester Health Centre, Bicester, UK</w:t>
            </w:r>
          </w:p>
          <w:p w14:paraId="0F2AC044" w14:textId="66A94136" w:rsidR="0090366C" w:rsidRDefault="00095FF7" w:rsidP="00976C14">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 xml:space="preserve">10 </w:t>
            </w:r>
            <w:r w:rsidR="00567815" w:rsidRPr="00567815">
              <w:rPr>
                <w:rFonts w:ascii="Arial" w:hAnsi="Arial" w:cs="Arial"/>
                <w:i/>
                <w:sz w:val="22"/>
                <w:szCs w:val="22"/>
                <w:lang w:val="en-US" w:eastAsia="en-GB"/>
              </w:rPr>
              <w:t>Woodlands Medical Centre, Didcot, UK</w:t>
            </w:r>
          </w:p>
          <w:p w14:paraId="29568EE8" w14:textId="77777777" w:rsidR="008A6CD4" w:rsidRDefault="00097662" w:rsidP="00097662">
            <w:pPr>
              <w:spacing w:before="120" w:after="120"/>
              <w:rPr>
                <w:rFonts w:ascii="Arial" w:hAnsi="Arial" w:cs="Arial"/>
                <w:i/>
                <w:sz w:val="22"/>
                <w:szCs w:val="22"/>
                <w:lang w:eastAsia="en-GB"/>
              </w:rPr>
            </w:pPr>
            <w:r>
              <w:rPr>
                <w:rFonts w:ascii="Arial" w:hAnsi="Arial" w:cs="Arial"/>
                <w:i/>
                <w:sz w:val="22"/>
                <w:szCs w:val="22"/>
                <w:vertAlign w:val="superscript"/>
                <w:lang w:val="en-US" w:eastAsia="en-GB"/>
              </w:rPr>
              <w:t>1</w:t>
            </w:r>
            <w:r w:rsidRPr="0050053A">
              <w:rPr>
                <w:rFonts w:ascii="Arial" w:hAnsi="Arial" w:cs="Arial"/>
                <w:i/>
                <w:sz w:val="22"/>
                <w:szCs w:val="22"/>
                <w:vertAlign w:val="superscript"/>
                <w:lang w:val="en-US" w:eastAsia="en-GB"/>
              </w:rPr>
              <w:t>1</w:t>
            </w:r>
            <w:r w:rsidR="008A6CD4" w:rsidRPr="008A6CD4">
              <w:rPr>
                <w:rFonts w:ascii="Arial" w:eastAsiaTheme="minorHAnsi" w:hAnsi="Arial" w:cs="Arial"/>
                <w:sz w:val="22"/>
                <w:szCs w:val="22"/>
                <w:shd w:val="clear" w:color="auto" w:fill="FFFFFF"/>
              </w:rPr>
              <w:t xml:space="preserve"> </w:t>
            </w:r>
            <w:r w:rsidR="008A6CD4" w:rsidRPr="008A6CD4">
              <w:rPr>
                <w:rFonts w:ascii="Arial" w:hAnsi="Arial" w:cs="Arial"/>
                <w:i/>
                <w:sz w:val="22"/>
                <w:szCs w:val="22"/>
                <w:lang w:eastAsia="en-GB"/>
              </w:rPr>
              <w:t>Wing Surgery, Leighton Buzzard, UK</w:t>
            </w:r>
          </w:p>
          <w:p w14:paraId="4A681328" w14:textId="04EFBEBB" w:rsidR="00097662" w:rsidRPr="0050053A" w:rsidRDefault="008A6CD4" w:rsidP="00097662">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 xml:space="preserve">12 </w:t>
            </w:r>
            <w:r w:rsidR="00AC5E57" w:rsidRPr="00AC5E57">
              <w:rPr>
                <w:rFonts w:ascii="Arial" w:hAnsi="Arial" w:cs="Arial"/>
                <w:i/>
                <w:sz w:val="22"/>
                <w:szCs w:val="22"/>
                <w:lang w:eastAsia="en-GB"/>
              </w:rPr>
              <w:t>Morland House Surgery, Wheatley, UK</w:t>
            </w:r>
          </w:p>
          <w:p w14:paraId="45ED36BF" w14:textId="51844776" w:rsidR="0090366C" w:rsidRPr="0050053A" w:rsidRDefault="00AC5E57" w:rsidP="00CE1C86">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 xml:space="preserve">13 </w:t>
            </w:r>
            <w:r w:rsidR="00CE1C86" w:rsidRPr="00CE1C86">
              <w:rPr>
                <w:rFonts w:ascii="Arial" w:hAnsi="Arial" w:cs="Arial"/>
                <w:i/>
                <w:sz w:val="22"/>
                <w:szCs w:val="22"/>
                <w:lang w:eastAsia="en-GB"/>
              </w:rPr>
              <w:t>King’s Centre of Lung Health, School of Immunology and Microbial Sciences, Faculty of Life Sciences and Medicine, King’s College London, UK</w:t>
            </w:r>
          </w:p>
        </w:tc>
      </w:tr>
      <w:tr w:rsidR="001564A4" w:rsidRPr="0050053A" w14:paraId="6DAF615A" w14:textId="77777777" w:rsidTr="000A28E2">
        <w:trPr>
          <w:trHeight w:hRule="exact" w:val="7352"/>
          <w:jc w:val="center"/>
        </w:trPr>
        <w:tc>
          <w:tcPr>
            <w:tcW w:w="8640" w:type="dxa"/>
            <w:shd w:val="clear" w:color="auto" w:fill="auto"/>
          </w:tcPr>
          <w:p w14:paraId="3D770CF7" w14:textId="4118AF82" w:rsidR="001564A4" w:rsidRPr="0050053A" w:rsidRDefault="001564A4" w:rsidP="000A28E2">
            <w:pPr>
              <w:pStyle w:val="Pa12"/>
              <w:rPr>
                <w:rStyle w:val="A4"/>
                <w:bCs/>
              </w:rPr>
            </w:pPr>
            <w:r>
              <w:rPr>
                <w:rStyle w:val="A4"/>
                <w:b/>
                <w:bCs/>
              </w:rPr>
              <w:lastRenderedPageBreak/>
              <w:t>Introduction/</w:t>
            </w:r>
            <w:r w:rsidRPr="0050053A">
              <w:rPr>
                <w:rStyle w:val="A4"/>
                <w:b/>
                <w:bCs/>
              </w:rPr>
              <w:t xml:space="preserve">Aim: </w:t>
            </w:r>
            <w:r w:rsidR="00D27890" w:rsidRPr="00D27890">
              <w:rPr>
                <w:sz w:val="22"/>
                <w:szCs w:val="22"/>
              </w:rPr>
              <w:t xml:space="preserve">Prednisolone for COPD exacerbation treatment leads to more patient harm than benefit. This multi-centre primary care </w:t>
            </w:r>
            <w:r w:rsidR="00FC05FD">
              <w:rPr>
                <w:sz w:val="22"/>
                <w:szCs w:val="22"/>
              </w:rPr>
              <w:t>randomised trial</w:t>
            </w:r>
            <w:r w:rsidR="00D27890" w:rsidRPr="00D27890">
              <w:rPr>
                <w:sz w:val="22"/>
                <w:szCs w:val="22"/>
              </w:rPr>
              <w:t xml:space="preserve"> hypothesised that blood-eosinophil directed corticosteroid therapy using near-patient testing was non inferior to current standard practice during an exacerbation of COPD.</w:t>
            </w:r>
          </w:p>
          <w:p w14:paraId="5029BAE6" w14:textId="04D348A2" w:rsidR="001564A4" w:rsidRPr="0050053A" w:rsidRDefault="001564A4" w:rsidP="000A28E2">
            <w:pPr>
              <w:pStyle w:val="Pa12"/>
              <w:rPr>
                <w:rStyle w:val="A4"/>
                <w:bCs/>
              </w:rPr>
            </w:pPr>
            <w:r w:rsidRPr="0050053A">
              <w:rPr>
                <w:rStyle w:val="A4"/>
                <w:b/>
                <w:bCs/>
              </w:rPr>
              <w:t>Method</w:t>
            </w:r>
            <w:r>
              <w:rPr>
                <w:rStyle w:val="A4"/>
                <w:b/>
                <w:bCs/>
              </w:rPr>
              <w:t>s</w:t>
            </w:r>
            <w:r w:rsidRPr="0050053A">
              <w:rPr>
                <w:rStyle w:val="A4"/>
                <w:b/>
                <w:bCs/>
              </w:rPr>
              <w:t xml:space="preserve">: </w:t>
            </w:r>
            <w:r w:rsidR="00EE6084" w:rsidRPr="00EE6084">
              <w:rPr>
                <w:sz w:val="22"/>
                <w:szCs w:val="22"/>
              </w:rPr>
              <w:t>Patients with a COPD exacerbation were recruited from 14 general practices in the Thames Valley. Participants were randomly allocated to receive intervention with eosinophil-biomarker guided matched prednisolone or placebo or standard care (matched prednisolone 30mg) for 14 days. Participants in the blood eosinophil directed treatment (BET) arm with a blood eosinophil count of &lt;2% on point of care testing were treated with blinded placebo. Participants were followed up at day 14, 30 and 90 after randomisation. The primary outcome was the rate of treatment failure, defined as any need for antibiotics and/or steroids at 30 days. Key secondary outcomes include change in COPD assessment test, FEV</w:t>
            </w:r>
            <w:r w:rsidR="00EE6084" w:rsidRPr="00EE6084">
              <w:rPr>
                <w:sz w:val="22"/>
                <w:szCs w:val="22"/>
                <w:vertAlign w:val="subscript"/>
              </w:rPr>
              <w:t>1</w:t>
            </w:r>
            <w:r w:rsidR="00EE6084" w:rsidRPr="00EE6084">
              <w:rPr>
                <w:sz w:val="22"/>
                <w:szCs w:val="22"/>
              </w:rPr>
              <w:t xml:space="preserve"> and visual analogue scale of COPD exacerbation symptoms.</w:t>
            </w:r>
          </w:p>
          <w:p w14:paraId="68537800" w14:textId="64DA3A57" w:rsidR="001564A4" w:rsidRPr="0050053A" w:rsidRDefault="001564A4" w:rsidP="000A28E2">
            <w:pPr>
              <w:pStyle w:val="Pa12"/>
              <w:rPr>
                <w:rStyle w:val="A4"/>
                <w:bCs/>
              </w:rPr>
            </w:pPr>
            <w:r w:rsidRPr="0050053A">
              <w:rPr>
                <w:rStyle w:val="A4"/>
                <w:b/>
                <w:bCs/>
              </w:rPr>
              <w:t xml:space="preserve">Results: </w:t>
            </w:r>
            <w:r w:rsidR="006E6333" w:rsidRPr="006E6333">
              <w:rPr>
                <w:sz w:val="22"/>
                <w:szCs w:val="22"/>
              </w:rPr>
              <w:t xml:space="preserve">144 exacerbations were included in the modified intention to treat (mITT) analysis. There were 73 and 71 exacerbations in the blood eosinophil directed arm and standard care arms respectively. The mITT analysis comparing blood eosinophil directed treatment over standard care showed a large non-significant effect (RR 0.60, 95% CI 0.33 to 1.04, p=0.070) in reducing treatment failures after a COPD exacerbation. </w:t>
            </w:r>
            <w:r w:rsidR="00B67618">
              <w:rPr>
                <w:sz w:val="22"/>
                <w:szCs w:val="22"/>
              </w:rPr>
              <w:t>B</w:t>
            </w:r>
            <w:r w:rsidR="006E6333" w:rsidRPr="006E6333">
              <w:rPr>
                <w:sz w:val="22"/>
                <w:szCs w:val="22"/>
              </w:rPr>
              <w:t>lood eosinophil count</w:t>
            </w:r>
            <w:r w:rsidR="00080458">
              <w:rPr>
                <w:sz w:val="22"/>
                <w:szCs w:val="22"/>
              </w:rPr>
              <w:t xml:space="preserve"> guided treatment</w:t>
            </w:r>
            <w:r w:rsidR="006E6333" w:rsidRPr="006E6333">
              <w:rPr>
                <w:sz w:val="22"/>
                <w:szCs w:val="22"/>
              </w:rPr>
              <w:t xml:space="preserve"> was non-inferior to standard care. There were no statistically or clinically meaningful differences in the COPD </w:t>
            </w:r>
            <w:r w:rsidR="000753BF">
              <w:rPr>
                <w:sz w:val="22"/>
                <w:szCs w:val="22"/>
              </w:rPr>
              <w:t>A</w:t>
            </w:r>
            <w:r w:rsidR="006E6333" w:rsidRPr="006E6333">
              <w:rPr>
                <w:sz w:val="22"/>
                <w:szCs w:val="22"/>
              </w:rPr>
              <w:t xml:space="preserve">ssessment </w:t>
            </w:r>
            <w:r w:rsidR="000753BF">
              <w:rPr>
                <w:sz w:val="22"/>
                <w:szCs w:val="22"/>
              </w:rPr>
              <w:t>T</w:t>
            </w:r>
            <w:r w:rsidR="006E6333" w:rsidRPr="006E6333">
              <w:rPr>
                <w:sz w:val="22"/>
                <w:szCs w:val="22"/>
              </w:rPr>
              <w:t>est, FEV</w:t>
            </w:r>
            <w:r w:rsidR="006E6333" w:rsidRPr="006E6333">
              <w:rPr>
                <w:sz w:val="22"/>
                <w:szCs w:val="22"/>
                <w:vertAlign w:val="subscript"/>
              </w:rPr>
              <w:t>1</w:t>
            </w:r>
            <w:r w:rsidR="006E6333" w:rsidRPr="006E6333">
              <w:rPr>
                <w:sz w:val="22"/>
                <w:szCs w:val="22"/>
              </w:rPr>
              <w:t xml:space="preserve"> and the symptom visual analogue sc</w:t>
            </w:r>
            <w:r w:rsidR="003D7A54">
              <w:rPr>
                <w:sz w:val="22"/>
                <w:szCs w:val="22"/>
              </w:rPr>
              <w:t>ore</w:t>
            </w:r>
            <w:r w:rsidR="006E6333" w:rsidRPr="006E6333">
              <w:rPr>
                <w:sz w:val="22"/>
                <w:szCs w:val="22"/>
              </w:rPr>
              <w:t>s between participants in both arms.</w:t>
            </w:r>
          </w:p>
          <w:p w14:paraId="652F7BE1" w14:textId="2A5FF131" w:rsidR="001564A4" w:rsidRPr="0050053A" w:rsidRDefault="001564A4" w:rsidP="000A28E2">
            <w:pPr>
              <w:pStyle w:val="Pa12"/>
              <w:rPr>
                <w:rStyle w:val="A4"/>
                <w:b/>
                <w:bCs/>
              </w:rPr>
            </w:pPr>
            <w:r w:rsidRPr="0050053A">
              <w:rPr>
                <w:rStyle w:val="A4"/>
                <w:b/>
                <w:bCs/>
              </w:rPr>
              <w:t xml:space="preserve">Conclusion: </w:t>
            </w:r>
            <w:r w:rsidR="002E26CD" w:rsidRPr="002E26CD">
              <w:rPr>
                <w:rStyle w:val="A4"/>
              </w:rPr>
              <w:t>Point of care blood eosinophil guided prednisolone therapy was non inferior to standard care in primary care treated exacerbations of COPD.</w:t>
            </w:r>
          </w:p>
          <w:p w14:paraId="7F8381F0" w14:textId="7A712D58" w:rsidR="001564A4" w:rsidRDefault="002E26CD" w:rsidP="000A28E2">
            <w:pPr>
              <w:pStyle w:val="Pa12"/>
              <w:rPr>
                <w:sz w:val="22"/>
                <w:szCs w:val="22"/>
              </w:rPr>
            </w:pPr>
            <w:r>
              <w:rPr>
                <w:rStyle w:val="A4"/>
                <w:b/>
                <w:bCs/>
              </w:rPr>
              <w:t xml:space="preserve">Trial Registration: </w:t>
            </w:r>
            <w:r w:rsidR="00E3182E" w:rsidRPr="00E3182E">
              <w:rPr>
                <w:sz w:val="22"/>
                <w:szCs w:val="22"/>
              </w:rPr>
              <w:t>NCT04458636</w:t>
            </w:r>
            <w:r w:rsidR="001564A4">
              <w:rPr>
                <w:sz w:val="22"/>
                <w:szCs w:val="22"/>
              </w:rPr>
              <w:br/>
            </w:r>
            <w:r w:rsidR="00E3182E">
              <w:rPr>
                <w:rStyle w:val="A4"/>
                <w:b/>
                <w:bCs/>
              </w:rPr>
              <w:t>Grant support:</w:t>
            </w:r>
            <w:r w:rsidR="00EA5BAF">
              <w:rPr>
                <w:rStyle w:val="A4"/>
                <w:b/>
                <w:bCs/>
              </w:rPr>
              <w:t xml:space="preserve"> </w:t>
            </w:r>
            <w:r w:rsidR="00EA5BAF" w:rsidRPr="00EA5BAF">
              <w:rPr>
                <w:sz w:val="22"/>
                <w:szCs w:val="22"/>
              </w:rPr>
              <w:t>National Institute for Health and Social Care Research (NIHR), UK</w:t>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211F"/>
    <w:rsid w:val="00030519"/>
    <w:rsid w:val="000740B2"/>
    <w:rsid w:val="000753BF"/>
    <w:rsid w:val="00080458"/>
    <w:rsid w:val="00095FF7"/>
    <w:rsid w:val="00097662"/>
    <w:rsid w:val="001564A4"/>
    <w:rsid w:val="00200618"/>
    <w:rsid w:val="002E2531"/>
    <w:rsid w:val="002E26CD"/>
    <w:rsid w:val="00355E96"/>
    <w:rsid w:val="003B3487"/>
    <w:rsid w:val="003D7A54"/>
    <w:rsid w:val="0048479B"/>
    <w:rsid w:val="0051574E"/>
    <w:rsid w:val="00567815"/>
    <w:rsid w:val="005A7930"/>
    <w:rsid w:val="00641E56"/>
    <w:rsid w:val="006E6333"/>
    <w:rsid w:val="007F7948"/>
    <w:rsid w:val="008803FA"/>
    <w:rsid w:val="008916CB"/>
    <w:rsid w:val="008A6CD4"/>
    <w:rsid w:val="0090366C"/>
    <w:rsid w:val="00976C14"/>
    <w:rsid w:val="009A6AD2"/>
    <w:rsid w:val="009B0154"/>
    <w:rsid w:val="00AC5E57"/>
    <w:rsid w:val="00B12E32"/>
    <w:rsid w:val="00B67618"/>
    <w:rsid w:val="00BB6C85"/>
    <w:rsid w:val="00CE1C86"/>
    <w:rsid w:val="00D27890"/>
    <w:rsid w:val="00D84BD2"/>
    <w:rsid w:val="00E0700F"/>
    <w:rsid w:val="00E3182E"/>
    <w:rsid w:val="00E67B75"/>
    <w:rsid w:val="00EA5BAF"/>
    <w:rsid w:val="00EE6084"/>
    <w:rsid w:val="00F15865"/>
    <w:rsid w:val="00F328D4"/>
    <w:rsid w:val="00FB4DFA"/>
    <w:rsid w:val="00FC05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Spacing">
    <w:name w:val="No Spacing"/>
    <w:uiPriority w:val="1"/>
    <w:qFormat/>
    <w:rsid w:val="002E2531"/>
    <w:rPr>
      <w:rFonts w:asciiTheme="minorHAnsi" w:hAnsi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6911e96c-4cc4-42d5-8e43-f93924cf6a05"/>
    <ds:schemaRef ds:uri="http://purl.org/dc/dcmitype/"/>
    <ds:schemaRef ds:uri="http://schemas.microsoft.com/office/2006/documentManagement/types"/>
    <ds:schemaRef ds:uri="http://purl.org/dc/terms/"/>
    <ds:schemaRef ds:uri="http://purl.org/dc/elements/1.1/"/>
    <ds:schemaRef ds:uri="9c8a2b7b-0bee-4c48-b0a6-23db8982d3bc"/>
    <ds:schemaRef ds:uri="http://schemas.openxmlformats.org/package/2006/metadata/core-properties"/>
    <ds:schemaRef ds:uri="http://schemas.microsoft.com/office/infopath/2007/PartnerControls"/>
    <ds:schemaRef ds:uri="cab52c9b-ab33-4221-8af9-54f8f2b86a8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Ramakrishnan, Sanjay (RTH) OUH</cp:lastModifiedBy>
  <cp:revision>4</cp:revision>
  <dcterms:created xsi:type="dcterms:W3CDTF">2023-09-29T13:58:00Z</dcterms:created>
  <dcterms:modified xsi:type="dcterms:W3CDTF">2023-09-29T14:01:00Z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