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6E9" w14:textId="58CF058C" w:rsidR="00EB1B31" w:rsidRDefault="00EB1B31" w:rsidP="007E2EDD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54686958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7B691D5" w14:textId="645DC1A2" w:rsidR="00C8423A" w:rsidRPr="0060554E" w:rsidRDefault="0060554E" w:rsidP="007E2EDD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055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Panel</w:t>
            </w:r>
          </w:p>
          <w:p w14:paraId="5D86AFEE" w14:textId="22DE465A" w:rsidR="007E2EDD" w:rsidRPr="007E2EDD" w:rsidRDefault="007E2EDD" w:rsidP="007E2E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/>
                <w:bCs/>
                <w:sz w:val="22"/>
                <w:szCs w:val="22"/>
              </w:rPr>
              <w:t>Safety as a Framework for Adaptation Education: Empowering educators and students with agency in the face of the climate crisis</w:t>
            </w:r>
          </w:p>
          <w:p w14:paraId="2BA78364" w14:textId="5D802DF8" w:rsidR="00C8423A" w:rsidRPr="00BE0B4D" w:rsidRDefault="00C8423A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423A" w:rsidRPr="0003525D" w14:paraId="3E0FEA24" w14:textId="77777777" w:rsidTr="009F4EA0">
        <w:trPr>
          <w:trHeight w:val="2016"/>
        </w:trPr>
        <w:tc>
          <w:tcPr>
            <w:tcW w:w="8640" w:type="dxa"/>
          </w:tcPr>
          <w:p w14:paraId="53866F43" w14:textId="59FCA851" w:rsidR="009F4EA0" w:rsidRPr="007E2EDD" w:rsidRDefault="009F4EA0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FFE26F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Climate change, resilience and adaptation are notoriously challenging topics for educators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students alike.</w:t>
            </w:r>
          </w:p>
          <w:p w14:paraId="63F9DD33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F8DC35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For educators, the challenges are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multifold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>. There is a well-documented effort by entrenched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industry groups to cast doubt on climate science and to push back against climate science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education (Dunlap, 2011). This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influence can shape curriculum decisions, especially in regions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where such industries are dominant (Corporate Knights, 2025). As the topic itself has become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politicized, parents and community members may resist climate education, arguing that 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promotes a specific political agenda or contradicts their beliefs, regardless of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scientific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consensus that climate change is real, caused by human behaviour, and has consequences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that we must adapt to. As a result, different national and sub-national jurisdictions have varying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policies on climate education (McKenzie et. al, 2023). Some explicitly include it in science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curricula, while others downplay or exclude it (Weitzman Institute, 2023). Furthermore,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complexity of climate science itself is a challenge for educators as it involves multiple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disciplines such as physics, chemistry, biology, economics, and others. This makes 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challenging to teach comprehensively in limited classroom time. Oftentimes, the result of these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challenges can lead to feelings of hopelessness and lack of agency by educators (Swim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Fraser, 2013). This can become a further barrier for educators to engage with issues of climate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change and adaptation because of intentional and unintentional self-doubt about their climate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science knowledge and concerns about audiences' responses (Jones and Davison, 2020).</w:t>
            </w:r>
          </w:p>
          <w:p w14:paraId="10A8E96B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7DED32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This lack of agency is a major challenge for students as well who face eco-anxiety that can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lead to climate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doomism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>. Educators reported that students commonly felt "overwhelmed,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hopeless, anxious, angry, sad and frustrated when engaging with ecological crises” (Verlie et.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al, 2021). However, as Trott (2020) shows, middle school aged children who knew more about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the scientific and social dimensions of climate change were more inspired and motivated by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their growing climate awareness. Agency for students, defined here as the feeling of being able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to contribute in a constructive way to a negative topic such as climate change, is a critical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component to student mental health and effective climate education. As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Pihkala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 (2021) argues,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a key task for educators to help address eco-anxiety is to provide opportunities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meaningful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and relevant empowerment.</w:t>
            </w:r>
          </w:p>
          <w:p w14:paraId="3E019858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2BD954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In the face of these challenges, using the lens of safety in relation to climate education may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prove to be a fruitful approach to helping provide educators and students with greater agency.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Safety is a fundamental human need that is largely valued regardless of political or ideological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stance (Maslow, 1943). People may disagree on how to achieve safety (e.g., gun control vs.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self-defense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>), but the idea that safety itself is important is rarely questioned. Historically,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solutions framed in the context of safety have been largely successful in transforming human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behavior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 and developing new social norms such as the use of safety equipment (seatbelts,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helmets, life jackets), the implementation of safety systems (smoke alarms, security cameras),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the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lastRenderedPageBreak/>
              <w:t>integration of healthy activities (exercise, smoking reduction). This previous success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offers optimism for applying this framing to key concepts in climate adaptation.</w:t>
            </w:r>
          </w:p>
          <w:p w14:paraId="755DFCEF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53214178" w14:textId="15ECF9A4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Climate adaptation at its core is an issue of human safety. The frequency and severity of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climate-related events, ranging from hurricanes and wildfires to heatwaves and rising sea level,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put immense pressure on people, industries, governments, and public safety institutions to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adapt, mitigate, and respond effectively. The science of safety, which has traditionally focused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on risk assessment, hazard mitigation, and emergency response, now finds itself at the heart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of climate resilience strategies and may help provide a blueprint for climate adaptation action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nd education. As the concept of ‘safety’ is less politicized, largely unquestioned as important,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and is geared towards tangible action and practical solutions, it holds the promise of providing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both students and educators with a greater sense of agency when it comes to climate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adaptation education.</w:t>
            </w:r>
          </w:p>
          <w:p w14:paraId="54AA3A04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5DCB3E58" w14:textId="11DFBC65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To these ends, a team of scientists, educators and digital producers at UL Research Institutes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(ULRI) have begun to leverage safety science principles for climate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adaptation education.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Leveraging traditional risk reduction frameworks that have been so successfully implemented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by ULRI for other hazards such as fire and chemical exposures to building materials, this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diverse team has undertaken educational research to inform the production of educational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content related to adaptation.</w:t>
            </w:r>
          </w:p>
          <w:p w14:paraId="13365D18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125D04C9" w14:textId="5322911B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ULRI is a leading, global safety science organization. Since 1894, it has pursued and applied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science-driven knowledge to meet its mission of working for a safer world. ULRI established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Office of Research Experiences and Education (OREE) to focus on safety science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education through various programs and initiatives for students ranging from middle school to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post-graduate degrees. Starting in 2023, OREE has begun a multi-pronged approach to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adaptation education that includes novel research on the impacts of eco-anxiety on learning.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Based on this research, a series of free, web-based resources for teachers related to climate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adaptation were produced. These resources were specifically guided by applying the safety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lens to these materials to help better provide agency for educators to better feel capable of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teaching climate change and adaptation topics and agency for students to feel more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empowered to </w:t>
            </w:r>
            <w:proofErr w:type="gramStart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take action</w:t>
            </w:r>
            <w:proofErr w:type="gramEnd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. These resources are included in two OREE developed platforms: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Xplorlabs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Standards Academy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6E2128D5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68CC5A7E" w14:textId="6C644A99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proofErr w:type="spellStart"/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Xplorlabs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(</w:t>
            </w:r>
            <w:hyperlink r:id="rId8" w:history="1">
              <w:r w:rsidRPr="00192112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CA"/>
                </w:rPr>
                <w:t>www.xplorlabs.org</w:t>
              </w:r>
            </w:hyperlink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) is a platform targeted to youth ages 11-19 that provides free,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highly interactive web-based resources based on work from safety science experts at ULRI.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Through a blended model of high-quality online interactive activities, videos, instructional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experiences, hands-on classroom investigations, and creative classroom challenges, the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Xplorlabs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platform is a free, STEM-focused experience that creates interesting opportunities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and STEM resources that create engagement, skills, knowledge, and action in the science of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safety.</w:t>
            </w:r>
          </w:p>
          <w:p w14:paraId="3EBCCA1C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02B88572" w14:textId="3B634615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Standards Academy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(</w:t>
            </w:r>
            <w:hyperlink r:id="rId9" w:history="1">
              <w:r w:rsidRPr="00192112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CA"/>
                </w:rPr>
                <w:t>www.StandardsAcademy.org</w:t>
              </w:r>
            </w:hyperlink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) is a platform geared towards</w:t>
            </w:r>
          </w:p>
          <w:p w14:paraId="44D7E2D8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undergraduate students to help them understand the importance of safety standards, introduce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them to career pathways in the safety sciences, and help recruit a new generation of talent to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help build standards for the future. It is built as a collaboration between ULRI and its sister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organization ULSE (UL Standards and Engagement) that focuses on safety standards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development.</w:t>
            </w:r>
          </w:p>
          <w:p w14:paraId="3CCEE247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7D09BD34" w14:textId="78039E01" w:rsidR="00BC6810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lastRenderedPageBreak/>
              <w:t>This panel will focus on educational research undertaken at OREE as it pertains to climate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education, eco-anxiety, and agency in the face of climate change challenges. It will then focus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on how this research has informed the development of class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materials for middle and high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school teachers in </w:t>
            </w:r>
            <w:proofErr w:type="spellStart"/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Xplorlabs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related to climate change, human safety, and adaptation. Finally,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it will look at how this research has helped inform the development of climate adaptation case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studies within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Standards Academy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27CEC374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566916EA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3E477DD9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References:</w:t>
            </w:r>
          </w:p>
          <w:p w14:paraId="0061829B" w14:textId="77777777" w:rsidR="00840B72" w:rsidRPr="007E2EDD" w:rsidRDefault="00840B72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E62FD5" w14:textId="439C8120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Corporate Knights. (n.d.).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How Big Oil promotes climate change misinformation in Canadian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schools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. Corporate Knights. Retrieved February 28, 2025, from</w:t>
            </w:r>
          </w:p>
          <w:p w14:paraId="603BCE16" w14:textId="29AD3203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10" w:history="1">
              <w:r w:rsidRPr="007E2ED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https://www.corporateknights.com/category-climate/how-big-oil-promotes-climate-changemisinformation-in-canadian-schools/</w:t>
              </w:r>
            </w:hyperlink>
          </w:p>
          <w:p w14:paraId="7C1EF8BD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308268" w14:textId="5BF7D9CD" w:rsidR="007E2EDD" w:rsidRPr="007E2EDD" w:rsidRDefault="007E2EDD" w:rsidP="007E2EDD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Dunlap, R. E., &amp; McCright, A. M. (2011). Organized climate change denial.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The Oxford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handbook of climate change and society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, 144-160.</w:t>
            </w:r>
          </w:p>
          <w:p w14:paraId="5F3046B6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BA6CD0" w14:textId="528404B0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Hickman, C., Marks, E.,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Pihkala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>, P., Clayton, S., Lewandowski, R. E., Mayall, E. E., ... &amp; Van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Susteren, L. (2021). Climate anxiety in children and young people and their beliefs about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government responses to climate change: a global survey.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The Lancet Planetary Health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(12),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e863-e873.</w:t>
            </w:r>
          </w:p>
          <w:p w14:paraId="0936290D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8389AC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Jones, C. A., &amp; Davison, A. (2021). Disempowering emotions: The role of educational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experiences in social responses to climate change. </w:t>
            </w:r>
            <w:proofErr w:type="spellStart"/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Geoforum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118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, 190-200.</w:t>
            </w:r>
          </w:p>
          <w:p w14:paraId="07C55660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B37A94" w14:textId="501EA993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Maslow, A. H. (1943). A theory of human motivation.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Psychological Review, 50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(4), 370–396.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Pr="007E2ED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https://doi.org/10.1037/h0054346</w:t>
              </w:r>
            </w:hyperlink>
          </w:p>
          <w:p w14:paraId="12251F31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D682E7" w14:textId="67B6F76A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McKenzie, M., Bieler, A., Brown, P., &amp; McNeil, R. (2023).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Country profiles on climate change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education policies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. Monitoring and Evaluating Climate Communication and Education Project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(MECCE). Retrieved from https://mecce.ca/wp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content/uploads/2023/12/GEMR-MECCEProject-</w:t>
            </w:r>
          </w:p>
          <w:p w14:paraId="3B689A01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Country-Profiles-Brochure-2023.pdf</w:t>
            </w:r>
          </w:p>
          <w:p w14:paraId="098B886C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E8FA25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Pihkala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P. (2020). Eco-anxiety and environmental education.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Sustainability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12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(23), 10149.</w:t>
            </w:r>
          </w:p>
          <w:p w14:paraId="3A0AE410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7EF41D" w14:textId="7387AFDA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Swim, J. K., &amp; Fraser, J. (2013). Fostering Hope in Climate Change Educators.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Journal of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Museum Education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38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(3), 286–297.</w:t>
            </w:r>
          </w:p>
          <w:p w14:paraId="32555D75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67CC1C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>Trott, C. D. (2020). Children’s constructive climate change engagement: Empowering</w:t>
            </w:r>
          </w:p>
          <w:p w14:paraId="723C658B" w14:textId="2D0E2444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awareness, agency, and action.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Environmental Education Research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26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(4), 532-554.</w:t>
            </w:r>
          </w:p>
          <w:p w14:paraId="65E5BA8F" w14:textId="77777777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3C5C1AEA" w14:textId="01689573" w:rsid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Verlie, B., Clark, E., Jarrett, T., &amp; </w:t>
            </w:r>
            <w:proofErr w:type="spellStart"/>
            <w:r w:rsidRPr="007E2EDD">
              <w:rPr>
                <w:rFonts w:ascii="Arial" w:hAnsi="Arial" w:cs="Arial"/>
                <w:bCs/>
                <w:sz w:val="22"/>
                <w:szCs w:val="22"/>
              </w:rPr>
              <w:t>Supriyono</w:t>
            </w:r>
            <w:proofErr w:type="spellEnd"/>
            <w:r w:rsidRPr="007E2EDD">
              <w:rPr>
                <w:rFonts w:ascii="Arial" w:hAnsi="Arial" w:cs="Arial"/>
                <w:bCs/>
                <w:sz w:val="22"/>
                <w:szCs w:val="22"/>
              </w:rPr>
              <w:t>, E. (2021). Educators’ experiences and strategies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for responding to ecological distress.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Australian Journal of Environmental Education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37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(2),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132–146. doi:10.1017/aee.2020.34</w:t>
            </w:r>
          </w:p>
          <w:p w14:paraId="6385942A" w14:textId="77777777" w:rsidR="007E2EDD" w:rsidRPr="007E2EDD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8169BC" w14:textId="77777777" w:rsidR="007E2EDD" w:rsidRPr="007E2EDD" w:rsidRDefault="007E2EDD" w:rsidP="007E2EDD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sz w:val="22"/>
                <w:szCs w:val="22"/>
              </w:rPr>
              <w:t xml:space="preserve">Weitzman Institute. (2023). </w:t>
            </w: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Climate change education in schools: Global and national</w:t>
            </w:r>
          </w:p>
          <w:p w14:paraId="175F4CBF" w14:textId="2623B74E" w:rsidR="00C8423A" w:rsidRPr="00840B72" w:rsidRDefault="007E2EDD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2E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perspectives</w:t>
            </w:r>
            <w:r w:rsidRPr="007E2EDD">
              <w:rPr>
                <w:rFonts w:ascii="Arial" w:hAnsi="Arial" w:cs="Arial"/>
                <w:bCs/>
                <w:sz w:val="22"/>
                <w:szCs w:val="22"/>
              </w:rPr>
              <w:t>. Retrieved from https://www.weitzmaninstitute.org/blog-climate-changeeducation-</w:t>
            </w:r>
            <w:r w:rsidRPr="007E2EDD">
              <w:rPr>
                <w:rFonts w:ascii="Arial" w:hAnsi="Arial" w:cs="Arial"/>
                <w:bCs/>
                <w:sz w:val="22"/>
                <w:szCs w:val="22"/>
                <w:lang w:val="en-CA"/>
              </w:rPr>
              <w:t>schools</w:t>
            </w:r>
          </w:p>
        </w:tc>
      </w:tr>
      <w:tr w:rsidR="004828A0" w:rsidRPr="0003525D" w14:paraId="76E17AFD" w14:textId="77777777" w:rsidTr="009F4EA0">
        <w:trPr>
          <w:trHeight w:val="576"/>
        </w:trPr>
        <w:tc>
          <w:tcPr>
            <w:tcW w:w="8640" w:type="dxa"/>
          </w:tcPr>
          <w:p w14:paraId="77EDFBC8" w14:textId="20D46F1F" w:rsidR="004828A0" w:rsidRDefault="00670B0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INDIVIDUAL PANELLIST CONTRIBUTION</w:t>
            </w:r>
          </w:p>
          <w:p w14:paraId="0DC49183" w14:textId="77777777" w:rsidR="006D4A81" w:rsidRDefault="006D4A81" w:rsidP="007E2E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CE814F8" w14:textId="60C557C2" w:rsidR="00E9389C" w:rsidRP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389C">
              <w:rPr>
                <w:rFonts w:ascii="Arial" w:hAnsi="Arial" w:cs="Arial"/>
                <w:b/>
                <w:sz w:val="22"/>
                <w:szCs w:val="22"/>
                <w:u w:val="single"/>
              </w:rPr>
              <w:t>Moderator Details</w:t>
            </w:r>
          </w:p>
          <w:p w14:paraId="638FD688" w14:textId="7812BA17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840B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</w:rPr>
              <w:t>Dr. Kelly Keena</w:t>
            </w:r>
          </w:p>
          <w:p w14:paraId="5921086D" w14:textId="70D637FD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840B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</w:rPr>
              <w:t>UL Research Institutes</w:t>
            </w:r>
          </w:p>
          <w:p w14:paraId="3C0DC7A3" w14:textId="74F59120" w:rsidR="00E9389C" w:rsidRPr="00840B72" w:rsidRDefault="00E9389C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0B72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D4A81" w:rsidRPr="00840B72">
              <w:rPr>
                <w:rFonts w:ascii="Arial" w:hAnsi="Arial" w:cs="Arial"/>
                <w:b/>
                <w:sz w:val="22"/>
                <w:szCs w:val="22"/>
              </w:rPr>
              <w:t xml:space="preserve"> sketch</w:t>
            </w:r>
            <w:r w:rsidR="0060554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</w:rPr>
              <w:t xml:space="preserve"> Dr. Keena is the founding senior director of the Office of Research Experiences &amp; Education at UL Research Institutes created to safety science learning resources, access, and research for high school and university classrooms and communities. She holds a Ph.D. in educational 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leadership and teaching license.</w:t>
            </w:r>
          </w:p>
          <w:p w14:paraId="79761F4B" w14:textId="77777777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49B5C" w14:textId="77777777" w:rsidR="00840B72" w:rsidRDefault="00840B72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A8726" w14:textId="74198CC4" w:rsidR="00E9389C" w:rsidRPr="006D4A81" w:rsidRDefault="00E9389C" w:rsidP="007E2E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1</w:t>
            </w:r>
          </w:p>
          <w:p w14:paraId="06108ED4" w14:textId="44A12F72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840B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</w:rPr>
              <w:t>Eliana Stromberg</w:t>
            </w:r>
          </w:p>
          <w:p w14:paraId="4444092C" w14:textId="6811A22A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840B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B72" w:rsidRPr="00840B72">
              <w:rPr>
                <w:rFonts w:ascii="Arial" w:hAnsi="Arial" w:cs="Arial"/>
                <w:bCs/>
                <w:sz w:val="22"/>
                <w:szCs w:val="22"/>
              </w:rPr>
              <w:t>UL Research Institute</w:t>
            </w:r>
          </w:p>
          <w:p w14:paraId="3AEC2334" w14:textId="546A70FF" w:rsidR="00E9389C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0554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5B23D2D" w14:textId="0DA023CD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</w:rPr>
              <w:t>Eliana is a Research Fellow with ULRI’s Office of Research Experiences and Education. With 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MSc in Climate Change from Dublin City University and a BA from Baylor University, her work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 xml:space="preserve">explores the emotional, </w:t>
            </w:r>
            <w:proofErr w:type="spellStart"/>
            <w:r w:rsidRPr="00840B72">
              <w:rPr>
                <w:rFonts w:ascii="Arial" w:hAnsi="Arial" w:cs="Arial"/>
                <w:bCs/>
                <w:sz w:val="22"/>
                <w:szCs w:val="22"/>
              </w:rPr>
              <w:t>behavioral</w:t>
            </w:r>
            <w:proofErr w:type="spellEnd"/>
            <w:r w:rsidRPr="00840B72">
              <w:rPr>
                <w:rFonts w:ascii="Arial" w:hAnsi="Arial" w:cs="Arial"/>
                <w:bCs/>
                <w:sz w:val="22"/>
                <w:szCs w:val="22"/>
              </w:rPr>
              <w:t>, and social aspects of climate change and works to inform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initiatives that support social well-being.</w:t>
            </w:r>
          </w:p>
          <w:p w14:paraId="771502CE" w14:textId="77777777" w:rsidR="00840B72" w:rsidRP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BCE114" w14:textId="2D79FDAF" w:rsidR="004828A0" w:rsidRDefault="00E9389C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 1</w:t>
            </w:r>
          </w:p>
          <w:p w14:paraId="7D95206D" w14:textId="6789AF6B" w:rsidR="00840B72" w:rsidRPr="00840B72" w:rsidRDefault="00840B72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Climate Coping Literature Synthesis</w:t>
            </w:r>
          </w:p>
          <w:p w14:paraId="05D043A0" w14:textId="77777777" w:rsidR="00105E39" w:rsidRDefault="00105E39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421A3" w14:textId="7D64D8F4" w:rsidR="004828A0" w:rsidRDefault="00E9389C" w:rsidP="007E2ED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Panellis</w:t>
            </w:r>
            <w:r w:rsidR="004828A0"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105E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</w:t>
            </w:r>
            <w:r w:rsidR="004828A0"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828A0"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2B1C33D" w14:textId="77777777" w:rsidR="00E9389C" w:rsidRDefault="00E9389C" w:rsidP="007E2EDD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26A56AA" w14:textId="11D7B8F9" w:rsidR="004828A0" w:rsidRDefault="00840B72" w:rsidP="007E2EDD">
            <w:pPr>
              <w:rPr>
                <w:rFonts w:ascii="Arial" w:hAnsi="Arial" w:cs="Arial"/>
                <w:sz w:val="22"/>
                <w:szCs w:val="22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>Research on the mental health impacts of climate change awareness or experience with its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consequences is an increasingly robust field. Developing alongside this line of inquiry 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recommendations about how those impacted are to cope with distress or trauma caused 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climate change. However, the current research on coping with climate change is notably diverse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in approaches and disciplines. As a result, a variety of distinct climate and eco-anxiety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frameworks have developed that are being circulated as resources for coping between scholars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and to the general public alike. The purpose of this literature synthesis is to therefore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retrospectively uncover the lines of work and practices that have informed the development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 xml:space="preserve">climate and eco-anxiety frameworks. Disciplines informing this work include </w:t>
            </w:r>
            <w:proofErr w:type="spellStart"/>
            <w:r w:rsidRPr="00840B72">
              <w:rPr>
                <w:rFonts w:ascii="Arial" w:hAnsi="Arial" w:cs="Arial"/>
                <w:sz w:val="22"/>
                <w:szCs w:val="22"/>
              </w:rPr>
              <w:t>behavioral</w:t>
            </w:r>
            <w:proofErr w:type="spellEnd"/>
            <w:r w:rsidRPr="00840B72">
              <w:rPr>
                <w:rFonts w:ascii="Arial" w:hAnsi="Arial" w:cs="Arial"/>
                <w:sz w:val="22"/>
                <w:szCs w:val="22"/>
              </w:rPr>
              <w:t>, clinical,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educational, or eco-psychology as well as pedagogical approaches such as trauma-informed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education or eco-pedagogy, to name a few. This investigation traces the products of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on the mental health impacts of climate change to their respective theoretical foundations. As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result, this paper offers an interdisciplinary landscape study of the roots—and fruits—of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research surrounding eco- and climate anxiety. Furthermore, this work provides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recommendations to inform the production of climate adaptation resources for educators.</w:t>
            </w:r>
          </w:p>
          <w:p w14:paraId="770505FC" w14:textId="77777777" w:rsidR="00840B72" w:rsidRDefault="00840B72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60377" w14:textId="77777777" w:rsidR="004828A0" w:rsidRDefault="004828A0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58BCE3" w14:textId="509FC2B7" w:rsidR="00840B72" w:rsidRPr="006D4A81" w:rsidRDefault="00840B72" w:rsidP="00840B7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5A531C97" w14:textId="7C82B8CF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Full Name: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Dr. Jamie Herring</w:t>
            </w:r>
          </w:p>
          <w:p w14:paraId="417CBBAD" w14:textId="6CF2B306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Organisation: </w:t>
            </w:r>
            <w:proofErr w:type="spellStart"/>
            <w:r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HabitatSeven</w:t>
            </w:r>
            <w:proofErr w:type="spellEnd"/>
          </w:p>
          <w:p w14:paraId="6938A81F" w14:textId="25533126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0554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80545DA" w14:textId="73A6418D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</w:rPr>
              <w:t>Dr. Herring is a digital producer whose work focuses on the intersections between climate,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 xml:space="preserve">nature, and digital technologies. In this capacity, he has worked for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lastRenderedPageBreak/>
              <w:t>organizations such as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World Bank, IPCC, NASA, NOAA, and ULRI. He holds a Ph.D. in Natural Resources from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Cornell University.</w:t>
            </w:r>
          </w:p>
          <w:p w14:paraId="11AFF031" w14:textId="77777777" w:rsidR="00840B72" w:rsidRP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559356" w14:textId="37D97C15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 2</w:t>
            </w:r>
          </w:p>
          <w:p w14:paraId="699C1AE0" w14:textId="3DB7EAA3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Producing Web-based Materials for Climate Adaption Education</w:t>
            </w:r>
          </w:p>
          <w:p w14:paraId="4FBA58E2" w14:textId="77777777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FEA7A" w14:textId="79F14463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Panellis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Contribution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19321C2" w14:textId="77777777" w:rsidR="00840B72" w:rsidRDefault="00840B72" w:rsidP="00840B72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1824011E" w14:textId="0775D63E" w:rsid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>This research paper presents the development of a series of web-based interactive materials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designed to support educators in teaching climate adaptation through the lens of safety science.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Recognizing that safety is a fundamental human need, the study applies safety science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principles to frame climate adaptation as a proactive approach to risk reduction and resilience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building. The materials, produced for delivery within Xplorlabs.org, incorporate engaging digital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content, including simulations, case studies, and interactive exercises, to help educators convey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complex climate adaptation concepts in an accessible and compelling manner.</w:t>
            </w:r>
          </w:p>
          <w:p w14:paraId="39B723E1" w14:textId="77777777" w:rsidR="00840B72" w:rsidRP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FC52A" w14:textId="39B344A0" w:rsid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>The research details the iterative design process, which involved collaboration with educators,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climate scientists, and safety experts at UL Research Institutes to ensure the content is both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pedagogically sound and scientifically rigorous. By leveraging safety science frameworks,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materials emphasize hazard identification, risk assessment, and adaptive strategies, drawing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parallels between climate adaptation and traditional safety practices in engineering, 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health, and emergency management.</w:t>
            </w:r>
          </w:p>
          <w:p w14:paraId="4F915AA8" w14:textId="77777777" w:rsidR="00840B72" w:rsidRP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9F2D5" w14:textId="081CE773" w:rsidR="006D4A81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>The study also explores the effectiveness of these materials through pilot testing in educational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settings, assessing user engagement and learning outcomes. Findings suggest that framing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climate adaptation within a safety context increases students’ motivation and comprehension,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making climate risks more tangible and actionable. The paper concludes by discussing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broader implications of integrating safety science into climate education and offers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recommendations for future web-based learning initiatives.</w:t>
            </w:r>
          </w:p>
          <w:p w14:paraId="72739AE4" w14:textId="77777777" w:rsid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43ECD" w14:textId="77777777" w:rsidR="00840B72" w:rsidRDefault="00840B72" w:rsidP="00840B72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24901A62" w14:textId="7524347F" w:rsidR="00840B72" w:rsidRPr="006D4A81" w:rsidRDefault="00840B72" w:rsidP="00840B7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</w:p>
          <w:p w14:paraId="4750F093" w14:textId="5017D401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Full Name: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Dr. Denice Durrant</w:t>
            </w:r>
          </w:p>
          <w:p w14:paraId="072A227B" w14:textId="6F08018E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Organisation: </w:t>
            </w:r>
            <w:r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UL Standards and Engagement</w:t>
            </w:r>
          </w:p>
          <w:p w14:paraId="76796B73" w14:textId="128358E3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0554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C221085" w14:textId="4BBBAB15" w:rsidR="00840B72" w:rsidRP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</w:rPr>
              <w:t>Dr. Denice Durrant is the Director of Data Science &amp; Engineering at UL Standards &amp;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Engagement, managing initiatives focused on advancing the technical rigor of ULSE standards.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An experienced engineer, Durrant has worked to expand ULSE’s capabilities utilizing hazard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bCs/>
                <w:sz w:val="22"/>
                <w:szCs w:val="22"/>
              </w:rPr>
              <w:t>mitigation to address technology challenges through standardization.</w:t>
            </w:r>
          </w:p>
          <w:p w14:paraId="71E0B30D" w14:textId="3C05E410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 3</w:t>
            </w:r>
          </w:p>
          <w:p w14:paraId="021DCAD9" w14:textId="6AC3D418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840B72">
              <w:rPr>
                <w:rFonts w:ascii="Arial" w:hAnsi="Arial" w:cs="Arial"/>
                <w:bCs/>
                <w:sz w:val="22"/>
                <w:szCs w:val="22"/>
                <w:lang w:val="en-CA"/>
              </w:rPr>
              <w:t>Using Safety Standards as a Method for Engagement in Adaptation and Education</w:t>
            </w:r>
          </w:p>
          <w:p w14:paraId="7A185AE3" w14:textId="77777777" w:rsidR="00840B72" w:rsidRDefault="00840B72" w:rsidP="00840B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BA0D3" w14:textId="746DF9EF" w:rsidR="00840B72" w:rsidRDefault="00840B72" w:rsidP="00840B7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Panellis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 Contribution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F55AF20" w14:textId="77777777" w:rsidR="00840B72" w:rsidRDefault="00840B72" w:rsidP="00840B72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7E8E41AA" w14:textId="629AA46D" w:rsid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>This research paper examines the creation of case studies designed to help undergraduate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educators teach climate resilience and adaptation using safety standards as a guiding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 xml:space="preserve">framework. As climate hazards become more frequent and </w:t>
            </w:r>
            <w:r w:rsidRPr="00840B72">
              <w:rPr>
                <w:rFonts w:ascii="Arial" w:hAnsi="Arial" w:cs="Arial"/>
                <w:sz w:val="22"/>
                <w:szCs w:val="22"/>
              </w:rPr>
              <w:lastRenderedPageBreak/>
              <w:t>severe, designing and developing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new standards to secure the safety of the human built environment is a critical climate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adaptation function. This will require not only new approaches to the development of standards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but also a new generation of students to contribute to their development.</w:t>
            </w:r>
          </w:p>
          <w:p w14:paraId="3F696C3E" w14:textId="77777777" w:rsidR="00840B72" w:rsidRPr="00840B72" w:rsidRDefault="00840B72" w:rsidP="00840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A1FFB" w14:textId="06A01837" w:rsidR="006D4A81" w:rsidRDefault="00840B72" w:rsidP="00840B72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840B72">
              <w:rPr>
                <w:rFonts w:ascii="Arial" w:hAnsi="Arial" w:cs="Arial"/>
                <w:sz w:val="22"/>
                <w:szCs w:val="22"/>
              </w:rPr>
              <w:t xml:space="preserve">The paper describes a structured methodology for developing case studies that draw from </w:t>
            </w:r>
            <w:proofErr w:type="spellStart"/>
            <w:r w:rsidRPr="00840B72">
              <w:rPr>
                <w:rFonts w:ascii="Arial" w:hAnsi="Arial" w:cs="Arial"/>
                <w:sz w:val="22"/>
                <w:szCs w:val="22"/>
              </w:rPr>
              <w:t>realworld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climate adaptation standards development at ULSE. Each case presents a scenario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where safety standards need to play a critical role in reducing climate-related risks. Pilot testing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in undergraduate courses through the Standards Academy web–based platform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(www.StandardsAcademy.org) assessed how these materials enhance students’ understanding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of climate resilience from a safety-driven perspective. Results indicate that framing adaptation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through safety standards improves comprehension, encourages interdisciplinary thinking,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provides students with structured approaches to addressing climate risks. The paper concludes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with best practices for educators on incorporating safety-focused case studies into 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teaching and discusses the broader impact of using this approach in climate education. This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research contributes to the development of interactive, real-world learning tools that prepare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B72">
              <w:rPr>
                <w:rFonts w:ascii="Arial" w:hAnsi="Arial" w:cs="Arial"/>
                <w:sz w:val="22"/>
                <w:szCs w:val="22"/>
              </w:rPr>
              <w:t>students to apply safety principles in climate adaptation planning.</w:t>
            </w:r>
          </w:p>
          <w:p w14:paraId="365BA19A" w14:textId="77777777" w:rsidR="00B94D66" w:rsidRPr="000214B7" w:rsidRDefault="00B94D66" w:rsidP="007E2EDD">
            <w:pPr>
              <w:rPr>
                <w:rFonts w:ascii="Arial" w:eastAsiaTheme="minorEastAsia" w:hAnsi="Arial" w:cs="Arial"/>
                <w:bCs/>
                <w:lang w:val="en-CA" w:eastAsia="zh-TW"/>
              </w:rPr>
            </w:pPr>
          </w:p>
          <w:p w14:paraId="532D9AAA" w14:textId="77777777" w:rsidR="004828A0" w:rsidRDefault="004828A0" w:rsidP="007E2E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1ED515" w14:textId="77777777" w:rsidR="004828A0" w:rsidRPr="00BE0B4D" w:rsidRDefault="004828A0" w:rsidP="007E2E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7E2EDD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B0BCC"/>
    <w:multiLevelType w:val="hybridMultilevel"/>
    <w:tmpl w:val="2956464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208686634">
    <w:abstractNumId w:val="2"/>
  </w:num>
  <w:num w:numId="4" w16cid:durableId="11791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14B7"/>
    <w:rsid w:val="000454E9"/>
    <w:rsid w:val="00105E39"/>
    <w:rsid w:val="00113EFE"/>
    <w:rsid w:val="00155315"/>
    <w:rsid w:val="00167646"/>
    <w:rsid w:val="00247C60"/>
    <w:rsid w:val="00256963"/>
    <w:rsid w:val="002E3AA3"/>
    <w:rsid w:val="00317356"/>
    <w:rsid w:val="00341D66"/>
    <w:rsid w:val="0034503D"/>
    <w:rsid w:val="00354C31"/>
    <w:rsid w:val="00386D01"/>
    <w:rsid w:val="004049E7"/>
    <w:rsid w:val="00427DD9"/>
    <w:rsid w:val="00462B90"/>
    <w:rsid w:val="004828A0"/>
    <w:rsid w:val="004B69C7"/>
    <w:rsid w:val="004F4CE8"/>
    <w:rsid w:val="004F5C81"/>
    <w:rsid w:val="0053222C"/>
    <w:rsid w:val="005469BD"/>
    <w:rsid w:val="00550B17"/>
    <w:rsid w:val="005847C8"/>
    <w:rsid w:val="005854B8"/>
    <w:rsid w:val="0060554E"/>
    <w:rsid w:val="00621A34"/>
    <w:rsid w:val="0065012F"/>
    <w:rsid w:val="006567EF"/>
    <w:rsid w:val="00670B0C"/>
    <w:rsid w:val="0068043B"/>
    <w:rsid w:val="00681CA7"/>
    <w:rsid w:val="006B5300"/>
    <w:rsid w:val="006D4A81"/>
    <w:rsid w:val="007C5213"/>
    <w:rsid w:val="007E2EDD"/>
    <w:rsid w:val="008235E8"/>
    <w:rsid w:val="00840B72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B6BC3"/>
    <w:rsid w:val="00B026E8"/>
    <w:rsid w:val="00B76030"/>
    <w:rsid w:val="00B94D66"/>
    <w:rsid w:val="00BA0872"/>
    <w:rsid w:val="00BA26BB"/>
    <w:rsid w:val="00BC6810"/>
    <w:rsid w:val="00BE0B4D"/>
    <w:rsid w:val="00BE5A89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9389C"/>
    <w:rsid w:val="00EB1B31"/>
    <w:rsid w:val="00EE348A"/>
    <w:rsid w:val="00F33AA6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plorlabs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37/h005434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rporateknights.com/category-climate/how-big-oil-promotes-climate-changemisinformation-in-canadian-school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andards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cab52c9b-ab33-4221-8af9-54f8f2b86a80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662EA-D7CE-4656-8E08-E3BFB9020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2451</Words>
  <Characters>13977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2025-03-09T22:29:00Z</dcterms:created>
  <dcterms:modified xsi:type="dcterms:W3CDTF">2025-08-10T23:40:00Z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