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65228" w14:textId="77777777" w:rsidR="00444423" w:rsidRPr="00E72C8E" w:rsidRDefault="00444423" w:rsidP="00444423">
      <w:pPr>
        <w:spacing w:after="0" w:line="240" w:lineRule="auto"/>
        <w:rPr>
          <w:rFonts w:ascii="Arial" w:hAnsi="Arial" w:cs="Arial"/>
        </w:rPr>
      </w:pPr>
      <w:bookmarkStart w:id="0" w:name="_Hlk214035650"/>
      <w:r w:rsidRPr="00E72C8E">
        <w:rPr>
          <w:rFonts w:ascii="Arial" w:hAnsi="Arial" w:cs="Arial"/>
          <w:b/>
          <w:bCs/>
        </w:rPr>
        <w:t>Indices of obesity, malnutrition and inflammation are strong predictors of mortality in adults with Type 2 diabetes: the FIELD study</w:t>
      </w:r>
    </w:p>
    <w:bookmarkEnd w:id="0"/>
    <w:p w14:paraId="159A7903" w14:textId="77777777" w:rsidR="00444423" w:rsidRPr="00E72C8E" w:rsidRDefault="00444423" w:rsidP="00444423">
      <w:pPr>
        <w:spacing w:after="0" w:line="240" w:lineRule="auto"/>
        <w:rPr>
          <w:rFonts w:ascii="Arial" w:hAnsi="Arial" w:cs="Arial"/>
        </w:rPr>
      </w:pPr>
    </w:p>
    <w:p w14:paraId="34C32759" w14:textId="39A2E8A4" w:rsidR="00444423" w:rsidRPr="00E72C8E" w:rsidRDefault="00444423" w:rsidP="00444423">
      <w:pPr>
        <w:spacing w:after="0" w:line="240" w:lineRule="auto"/>
        <w:jc w:val="both"/>
        <w:rPr>
          <w:rFonts w:ascii="Arial" w:hAnsi="Arial" w:cs="Arial"/>
        </w:rPr>
      </w:pPr>
      <w:bookmarkStart w:id="1" w:name="_Hlk217130335"/>
      <w:r w:rsidRPr="00E72C8E">
        <w:rPr>
          <w:rFonts w:ascii="Arial" w:hAnsi="Arial" w:cs="Arial"/>
          <w:b/>
          <w:bCs/>
        </w:rPr>
        <w:t xml:space="preserve">Background: </w:t>
      </w:r>
      <w:r w:rsidRPr="00E72C8E">
        <w:rPr>
          <w:rFonts w:ascii="Arial" w:hAnsi="Arial" w:cs="Arial"/>
        </w:rPr>
        <w:t>Metabolic risk in type 2 diabetes (T2D) is not fully captured by standard clinical measures. Nuclear magnetic resonance (NMR)-based metabolomic indices may enhance risk prediction.</w:t>
      </w:r>
    </w:p>
    <w:p w14:paraId="3C50E90F" w14:textId="77777777" w:rsidR="00444423" w:rsidRPr="00E72C8E" w:rsidRDefault="00444423" w:rsidP="00444423">
      <w:pPr>
        <w:spacing w:after="0" w:line="240" w:lineRule="auto"/>
        <w:jc w:val="both"/>
        <w:rPr>
          <w:rFonts w:ascii="Arial" w:hAnsi="Arial" w:cs="Arial"/>
        </w:rPr>
      </w:pPr>
    </w:p>
    <w:p w14:paraId="3DC9630A" w14:textId="377D6399" w:rsidR="00444423" w:rsidRPr="00E72C8E" w:rsidRDefault="00444423" w:rsidP="00444423">
      <w:pPr>
        <w:spacing w:after="0" w:line="240" w:lineRule="auto"/>
        <w:jc w:val="both"/>
        <w:rPr>
          <w:rFonts w:ascii="Arial" w:hAnsi="Arial" w:cs="Arial"/>
        </w:rPr>
      </w:pPr>
      <w:r w:rsidRPr="00E72C8E">
        <w:rPr>
          <w:rFonts w:ascii="Arial" w:hAnsi="Arial" w:cs="Arial"/>
          <w:b/>
          <w:bCs/>
        </w:rPr>
        <w:t xml:space="preserve">Methods: </w:t>
      </w:r>
      <w:r w:rsidR="00E72C8E" w:rsidRPr="00E72C8E">
        <w:rPr>
          <w:rFonts w:ascii="Arial" w:hAnsi="Arial" w:cs="Arial"/>
        </w:rPr>
        <w:t xml:space="preserve">In </w:t>
      </w:r>
      <w:r w:rsidRPr="00E72C8E">
        <w:rPr>
          <w:rFonts w:ascii="Arial" w:hAnsi="Arial" w:cs="Arial"/>
        </w:rPr>
        <w:t>9,550 adults with T2D followed for 5 years in the Fenofibrate Intervention and Event Lowering in Diabetes (FIELD) study</w:t>
      </w:r>
      <w:r w:rsidR="00E72C8E" w:rsidRPr="00E72C8E">
        <w:rPr>
          <w:rFonts w:ascii="Arial" w:hAnsi="Arial" w:cs="Arial"/>
        </w:rPr>
        <w:t>, t</w:t>
      </w:r>
      <w:r w:rsidRPr="00E72C8E">
        <w:rPr>
          <w:rFonts w:ascii="Arial" w:hAnsi="Arial" w:cs="Arial"/>
        </w:rPr>
        <w:t>he composite index MVX (metabolic vulnerability), and its components IVX (inflammation vulnerability) and MMX (metabolic malnutrition) were derived from baseline plasma NMR. Associations with mortality were assessed using Cox models adjusted for clinical variables and treatment. Predictive performance was assessed using C-statistics and variable contribution analysis.</w:t>
      </w:r>
    </w:p>
    <w:p w14:paraId="19B986DF" w14:textId="77777777" w:rsidR="00444423" w:rsidRPr="00E72C8E" w:rsidRDefault="00444423" w:rsidP="00444423">
      <w:pPr>
        <w:spacing w:after="0" w:line="240" w:lineRule="auto"/>
        <w:jc w:val="both"/>
        <w:rPr>
          <w:rFonts w:ascii="Arial" w:hAnsi="Arial" w:cs="Arial"/>
        </w:rPr>
      </w:pPr>
    </w:p>
    <w:p w14:paraId="71E94B13" w14:textId="5E18F816" w:rsidR="00444423" w:rsidRPr="00E72C8E" w:rsidRDefault="00444423" w:rsidP="00444423">
      <w:pPr>
        <w:spacing w:after="0" w:line="240" w:lineRule="auto"/>
        <w:jc w:val="both"/>
        <w:rPr>
          <w:rFonts w:ascii="Arial" w:hAnsi="Arial" w:cs="Arial"/>
        </w:rPr>
      </w:pPr>
      <w:r w:rsidRPr="00E72C8E">
        <w:rPr>
          <w:rFonts w:ascii="Arial" w:hAnsi="Arial" w:cs="Arial"/>
          <w:b/>
          <w:bCs/>
        </w:rPr>
        <w:t xml:space="preserve">Results: </w:t>
      </w:r>
      <w:r w:rsidRPr="00E72C8E">
        <w:rPr>
          <w:rFonts w:ascii="Arial" w:hAnsi="Arial" w:cs="Arial"/>
        </w:rPr>
        <w:t xml:space="preserve">All indices were associated with all-cause mortality. Participants in the highest MVX quintile (Q5) had over 4-fold greater unadjusted mortality risk, and more than double the risk after adjustment (HR 2.31, 95%CI 1.71-3.12). Each standard deviation </w:t>
      </w:r>
      <w:proofErr w:type="gramStart"/>
      <w:r w:rsidRPr="00E72C8E">
        <w:rPr>
          <w:rFonts w:ascii="Arial" w:hAnsi="Arial" w:cs="Arial"/>
        </w:rPr>
        <w:t>increase</w:t>
      </w:r>
      <w:proofErr w:type="gramEnd"/>
      <w:r w:rsidRPr="00E72C8E">
        <w:rPr>
          <w:rFonts w:ascii="Arial" w:hAnsi="Arial" w:cs="Arial"/>
        </w:rPr>
        <w:t xml:space="preserve"> in MVX showed a 75% higher mortality risk (95%CI 62-89%; p&lt;0.001). MVX was associated with cardiovascular and cancer mortality </w:t>
      </w:r>
      <w:proofErr w:type="gramStart"/>
      <w:r w:rsidRPr="00E72C8E">
        <w:rPr>
          <w:rFonts w:ascii="Arial" w:hAnsi="Arial" w:cs="Arial"/>
        </w:rPr>
        <w:t>separately, and</w:t>
      </w:r>
      <w:proofErr w:type="gramEnd"/>
      <w:r w:rsidRPr="00E72C8E">
        <w:rPr>
          <w:rFonts w:ascii="Arial" w:hAnsi="Arial" w:cs="Arial"/>
        </w:rPr>
        <w:t xml:space="preserve"> independently predicted non-fatal cardiovascular events and new incident cancer. MMX and IVX showed weaker and less consistent associations. MVX improved risk model discrimination (C-statistic from 0.725 to 0.737; p=0.0003) and outperformed prior CVD history as a predictor.</w:t>
      </w:r>
    </w:p>
    <w:p w14:paraId="78FADCEC" w14:textId="77777777" w:rsidR="00444423" w:rsidRPr="00E72C8E" w:rsidRDefault="00444423" w:rsidP="00444423">
      <w:pPr>
        <w:spacing w:after="0" w:line="240" w:lineRule="auto"/>
        <w:jc w:val="both"/>
        <w:rPr>
          <w:rFonts w:ascii="Arial" w:hAnsi="Arial" w:cs="Arial"/>
        </w:rPr>
      </w:pPr>
    </w:p>
    <w:p w14:paraId="1DF20CF1" w14:textId="77777777" w:rsidR="00444423" w:rsidRPr="00E72C8E" w:rsidRDefault="00444423" w:rsidP="00444423">
      <w:pPr>
        <w:spacing w:after="0" w:line="240" w:lineRule="auto"/>
        <w:jc w:val="both"/>
        <w:rPr>
          <w:rFonts w:ascii="Arial" w:hAnsi="Arial" w:cs="Arial"/>
        </w:rPr>
      </w:pPr>
      <w:r w:rsidRPr="00E72C8E">
        <w:rPr>
          <w:rFonts w:ascii="Arial" w:hAnsi="Arial" w:cs="Arial"/>
          <w:b/>
          <w:bCs/>
        </w:rPr>
        <w:t xml:space="preserve">Conclusions: </w:t>
      </w:r>
      <w:r w:rsidRPr="00E72C8E">
        <w:rPr>
          <w:rFonts w:ascii="Arial" w:hAnsi="Arial" w:cs="Arial"/>
        </w:rPr>
        <w:t>MVX independently predicts all-cause and cardiovascular mortality in T2D, offering prognostic value beyond traditional risk factors. Absolute event rates reflect the treatment standards of the FIELD recruitment period (1997–2000), prior to widespread use of several contemporary cardioprotective therapies. Results support further investigation of its clinical utility for personalised risk.</w:t>
      </w:r>
      <w:bookmarkEnd w:id="1"/>
    </w:p>
    <w:p w14:paraId="2796A713" w14:textId="77777777" w:rsidR="00444423" w:rsidRPr="00E72C8E" w:rsidRDefault="00444423" w:rsidP="00444423">
      <w:pPr>
        <w:spacing w:line="240" w:lineRule="auto"/>
      </w:pPr>
    </w:p>
    <w:p w14:paraId="4DB9DE99" w14:textId="23BFBD2E" w:rsidR="00D23BF5" w:rsidRPr="00E72C8E" w:rsidRDefault="00D23BF5" w:rsidP="00444423">
      <w:pPr>
        <w:spacing w:line="240" w:lineRule="auto"/>
      </w:pPr>
      <w:r w:rsidRPr="00E72C8E">
        <w:rPr>
          <w:noProof/>
        </w:rPr>
        <w:drawing>
          <wp:inline distT="0" distB="0" distL="0" distR="0" wp14:anchorId="313BF4C3" wp14:editId="445AE829">
            <wp:extent cx="5678770" cy="3816000"/>
            <wp:effectExtent l="0" t="0" r="0" b="0"/>
            <wp:docPr id="874887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78770" cy="3816000"/>
                    </a:xfrm>
                    <a:prstGeom prst="rect">
                      <a:avLst/>
                    </a:prstGeom>
                    <a:noFill/>
                  </pic:spPr>
                </pic:pic>
              </a:graphicData>
            </a:graphic>
          </wp:inline>
        </w:drawing>
      </w:r>
    </w:p>
    <w:sectPr w:rsidR="00D23BF5" w:rsidRPr="00E72C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Aptos Display">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23"/>
    <w:rsid w:val="00100441"/>
    <w:rsid w:val="0027003C"/>
    <w:rsid w:val="00444423"/>
    <w:rsid w:val="005C2B03"/>
    <w:rsid w:val="008500C4"/>
    <w:rsid w:val="00D23BF5"/>
    <w:rsid w:val="00E72C8E"/>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3C192"/>
  <w15:chartTrackingRefBased/>
  <w15:docId w15:val="{4428BBA9-FE67-41CC-8C0C-4A205C76D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AU" w:eastAsia="en-US" w:bidi="th-TH"/>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4423"/>
    <w:pPr>
      <w:spacing w:after="160" w:line="259" w:lineRule="auto"/>
    </w:pPr>
    <w:rPr>
      <w:szCs w:val="22"/>
      <w:lang w:bidi="ar-SA"/>
    </w:rPr>
  </w:style>
  <w:style w:type="paragraph" w:styleId="Heading1">
    <w:name w:val="heading 1"/>
    <w:basedOn w:val="Normal"/>
    <w:next w:val="Normal"/>
    <w:link w:val="Heading1Char"/>
    <w:uiPriority w:val="9"/>
    <w:qFormat/>
    <w:rsid w:val="00444423"/>
    <w:pPr>
      <w:keepNext/>
      <w:keepLines/>
      <w:spacing w:before="360" w:after="80" w:line="240" w:lineRule="auto"/>
      <w:outlineLvl w:val="0"/>
    </w:pPr>
    <w:rPr>
      <w:rFonts w:asciiTheme="majorHAnsi" w:eastAsiaTheme="majorEastAsia" w:hAnsiTheme="majorHAnsi" w:cstheme="majorBidi"/>
      <w:color w:val="0F4761" w:themeColor="accent1" w:themeShade="BF"/>
      <w:sz w:val="40"/>
      <w:szCs w:val="50"/>
      <w:lang w:bidi="th-TH"/>
    </w:rPr>
  </w:style>
  <w:style w:type="paragraph" w:styleId="Heading2">
    <w:name w:val="heading 2"/>
    <w:basedOn w:val="Normal"/>
    <w:next w:val="Normal"/>
    <w:link w:val="Heading2Char"/>
    <w:uiPriority w:val="9"/>
    <w:semiHidden/>
    <w:unhideWhenUsed/>
    <w:qFormat/>
    <w:rsid w:val="00444423"/>
    <w:pPr>
      <w:keepNext/>
      <w:keepLines/>
      <w:spacing w:before="160" w:after="80" w:line="240" w:lineRule="auto"/>
      <w:outlineLvl w:val="1"/>
    </w:pPr>
    <w:rPr>
      <w:rFonts w:asciiTheme="majorHAnsi" w:eastAsiaTheme="majorEastAsia" w:hAnsiTheme="majorHAnsi" w:cstheme="majorBidi"/>
      <w:color w:val="0F4761" w:themeColor="accent1" w:themeShade="BF"/>
      <w:sz w:val="32"/>
      <w:szCs w:val="40"/>
      <w:lang w:bidi="th-TH"/>
    </w:rPr>
  </w:style>
  <w:style w:type="paragraph" w:styleId="Heading3">
    <w:name w:val="heading 3"/>
    <w:basedOn w:val="Normal"/>
    <w:next w:val="Normal"/>
    <w:link w:val="Heading3Char"/>
    <w:uiPriority w:val="9"/>
    <w:semiHidden/>
    <w:unhideWhenUsed/>
    <w:qFormat/>
    <w:rsid w:val="00444423"/>
    <w:pPr>
      <w:keepNext/>
      <w:keepLines/>
      <w:spacing w:before="160" w:after="80" w:line="240" w:lineRule="auto"/>
      <w:outlineLvl w:val="2"/>
    </w:pPr>
    <w:rPr>
      <w:rFonts w:eastAsiaTheme="majorEastAsia" w:cstheme="majorBidi"/>
      <w:color w:val="0F4761" w:themeColor="accent1" w:themeShade="BF"/>
      <w:sz w:val="28"/>
      <w:szCs w:val="35"/>
      <w:lang w:bidi="th-TH"/>
    </w:rPr>
  </w:style>
  <w:style w:type="paragraph" w:styleId="Heading4">
    <w:name w:val="heading 4"/>
    <w:basedOn w:val="Normal"/>
    <w:next w:val="Normal"/>
    <w:link w:val="Heading4Char"/>
    <w:uiPriority w:val="9"/>
    <w:semiHidden/>
    <w:unhideWhenUsed/>
    <w:qFormat/>
    <w:rsid w:val="00444423"/>
    <w:pPr>
      <w:keepNext/>
      <w:keepLines/>
      <w:spacing w:before="80" w:after="40" w:line="240" w:lineRule="auto"/>
      <w:outlineLvl w:val="3"/>
    </w:pPr>
    <w:rPr>
      <w:rFonts w:eastAsiaTheme="majorEastAsia" w:cstheme="majorBidi"/>
      <w:i/>
      <w:iCs/>
      <w:color w:val="0F4761" w:themeColor="accent1" w:themeShade="BF"/>
      <w:szCs w:val="28"/>
      <w:lang w:bidi="th-TH"/>
    </w:rPr>
  </w:style>
  <w:style w:type="paragraph" w:styleId="Heading5">
    <w:name w:val="heading 5"/>
    <w:basedOn w:val="Normal"/>
    <w:next w:val="Normal"/>
    <w:link w:val="Heading5Char"/>
    <w:uiPriority w:val="9"/>
    <w:semiHidden/>
    <w:unhideWhenUsed/>
    <w:qFormat/>
    <w:rsid w:val="00444423"/>
    <w:pPr>
      <w:keepNext/>
      <w:keepLines/>
      <w:spacing w:before="80" w:after="40" w:line="240" w:lineRule="auto"/>
      <w:outlineLvl w:val="4"/>
    </w:pPr>
    <w:rPr>
      <w:rFonts w:eastAsiaTheme="majorEastAsia" w:cstheme="majorBidi"/>
      <w:color w:val="0F4761" w:themeColor="accent1" w:themeShade="BF"/>
      <w:szCs w:val="28"/>
      <w:lang w:bidi="th-TH"/>
    </w:rPr>
  </w:style>
  <w:style w:type="paragraph" w:styleId="Heading6">
    <w:name w:val="heading 6"/>
    <w:basedOn w:val="Normal"/>
    <w:next w:val="Normal"/>
    <w:link w:val="Heading6Char"/>
    <w:uiPriority w:val="9"/>
    <w:semiHidden/>
    <w:unhideWhenUsed/>
    <w:qFormat/>
    <w:rsid w:val="00444423"/>
    <w:pPr>
      <w:keepNext/>
      <w:keepLines/>
      <w:spacing w:before="40" w:after="0" w:line="240" w:lineRule="auto"/>
      <w:outlineLvl w:val="5"/>
    </w:pPr>
    <w:rPr>
      <w:rFonts w:eastAsiaTheme="majorEastAsia" w:cstheme="majorBidi"/>
      <w:i/>
      <w:iCs/>
      <w:color w:val="595959" w:themeColor="text1" w:themeTint="A6"/>
      <w:szCs w:val="28"/>
      <w:lang w:bidi="th-TH"/>
    </w:rPr>
  </w:style>
  <w:style w:type="paragraph" w:styleId="Heading7">
    <w:name w:val="heading 7"/>
    <w:basedOn w:val="Normal"/>
    <w:next w:val="Normal"/>
    <w:link w:val="Heading7Char"/>
    <w:uiPriority w:val="9"/>
    <w:semiHidden/>
    <w:unhideWhenUsed/>
    <w:qFormat/>
    <w:rsid w:val="00444423"/>
    <w:pPr>
      <w:keepNext/>
      <w:keepLines/>
      <w:spacing w:before="40" w:after="0" w:line="240" w:lineRule="auto"/>
      <w:outlineLvl w:val="6"/>
    </w:pPr>
    <w:rPr>
      <w:rFonts w:eastAsiaTheme="majorEastAsia" w:cstheme="majorBidi"/>
      <w:color w:val="595959" w:themeColor="text1" w:themeTint="A6"/>
      <w:szCs w:val="28"/>
      <w:lang w:bidi="th-TH"/>
    </w:rPr>
  </w:style>
  <w:style w:type="paragraph" w:styleId="Heading8">
    <w:name w:val="heading 8"/>
    <w:basedOn w:val="Normal"/>
    <w:next w:val="Normal"/>
    <w:link w:val="Heading8Char"/>
    <w:uiPriority w:val="9"/>
    <w:semiHidden/>
    <w:unhideWhenUsed/>
    <w:qFormat/>
    <w:rsid w:val="00444423"/>
    <w:pPr>
      <w:keepNext/>
      <w:keepLines/>
      <w:spacing w:after="0" w:line="240" w:lineRule="auto"/>
      <w:outlineLvl w:val="7"/>
    </w:pPr>
    <w:rPr>
      <w:rFonts w:eastAsiaTheme="majorEastAsia" w:cstheme="majorBidi"/>
      <w:i/>
      <w:iCs/>
      <w:color w:val="272727" w:themeColor="text1" w:themeTint="D8"/>
      <w:szCs w:val="28"/>
      <w:lang w:bidi="th-TH"/>
    </w:rPr>
  </w:style>
  <w:style w:type="paragraph" w:styleId="Heading9">
    <w:name w:val="heading 9"/>
    <w:basedOn w:val="Normal"/>
    <w:next w:val="Normal"/>
    <w:link w:val="Heading9Char"/>
    <w:uiPriority w:val="9"/>
    <w:semiHidden/>
    <w:unhideWhenUsed/>
    <w:qFormat/>
    <w:rsid w:val="00444423"/>
    <w:pPr>
      <w:keepNext/>
      <w:keepLines/>
      <w:spacing w:after="0" w:line="240" w:lineRule="auto"/>
      <w:outlineLvl w:val="8"/>
    </w:pPr>
    <w:rPr>
      <w:rFonts w:eastAsiaTheme="majorEastAsia" w:cstheme="majorBidi"/>
      <w:color w:val="272727" w:themeColor="text1" w:themeTint="D8"/>
      <w:szCs w:val="28"/>
      <w:lang w:bidi="th-T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4423"/>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444423"/>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444423"/>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4444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44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44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4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4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423"/>
    <w:rPr>
      <w:rFonts w:eastAsiaTheme="majorEastAsia" w:cstheme="majorBidi"/>
      <w:color w:val="272727" w:themeColor="text1" w:themeTint="D8"/>
    </w:rPr>
  </w:style>
  <w:style w:type="paragraph" w:styleId="Title">
    <w:name w:val="Title"/>
    <w:basedOn w:val="Normal"/>
    <w:next w:val="Normal"/>
    <w:link w:val="TitleChar"/>
    <w:uiPriority w:val="10"/>
    <w:qFormat/>
    <w:rsid w:val="00444423"/>
    <w:pPr>
      <w:spacing w:after="80" w:line="240" w:lineRule="auto"/>
      <w:contextualSpacing/>
    </w:pPr>
    <w:rPr>
      <w:rFonts w:asciiTheme="majorHAnsi" w:eastAsiaTheme="majorEastAsia" w:hAnsiTheme="majorHAnsi" w:cstheme="majorBidi"/>
      <w:spacing w:val="-10"/>
      <w:kern w:val="28"/>
      <w:sz w:val="56"/>
      <w:szCs w:val="71"/>
      <w:lang w:bidi="th-TH"/>
    </w:rPr>
  </w:style>
  <w:style w:type="character" w:customStyle="1" w:styleId="TitleChar">
    <w:name w:val="Title Char"/>
    <w:basedOn w:val="DefaultParagraphFont"/>
    <w:link w:val="Title"/>
    <w:uiPriority w:val="10"/>
    <w:rsid w:val="00444423"/>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444423"/>
    <w:pPr>
      <w:numPr>
        <w:ilvl w:val="1"/>
      </w:numPr>
      <w:spacing w:line="240" w:lineRule="auto"/>
    </w:pPr>
    <w:rPr>
      <w:rFonts w:eastAsiaTheme="majorEastAsia" w:cstheme="majorBidi"/>
      <w:color w:val="595959" w:themeColor="text1" w:themeTint="A6"/>
      <w:spacing w:val="15"/>
      <w:sz w:val="28"/>
      <w:szCs w:val="35"/>
      <w:lang w:bidi="th-TH"/>
    </w:rPr>
  </w:style>
  <w:style w:type="character" w:customStyle="1" w:styleId="SubtitleChar">
    <w:name w:val="Subtitle Char"/>
    <w:basedOn w:val="DefaultParagraphFont"/>
    <w:link w:val="Subtitle"/>
    <w:uiPriority w:val="11"/>
    <w:rsid w:val="00444423"/>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444423"/>
    <w:pPr>
      <w:spacing w:before="160" w:line="240" w:lineRule="auto"/>
      <w:jc w:val="center"/>
    </w:pPr>
    <w:rPr>
      <w:i/>
      <w:iCs/>
      <w:color w:val="404040" w:themeColor="text1" w:themeTint="BF"/>
      <w:szCs w:val="28"/>
      <w:lang w:bidi="th-TH"/>
    </w:rPr>
  </w:style>
  <w:style w:type="character" w:customStyle="1" w:styleId="QuoteChar">
    <w:name w:val="Quote Char"/>
    <w:basedOn w:val="DefaultParagraphFont"/>
    <w:link w:val="Quote"/>
    <w:uiPriority w:val="29"/>
    <w:rsid w:val="00444423"/>
    <w:rPr>
      <w:i/>
      <w:iCs/>
      <w:color w:val="404040" w:themeColor="text1" w:themeTint="BF"/>
    </w:rPr>
  </w:style>
  <w:style w:type="paragraph" w:styleId="ListParagraph">
    <w:name w:val="List Paragraph"/>
    <w:basedOn w:val="Normal"/>
    <w:uiPriority w:val="34"/>
    <w:qFormat/>
    <w:rsid w:val="00444423"/>
    <w:pPr>
      <w:spacing w:after="0" w:line="240" w:lineRule="auto"/>
      <w:ind w:left="720"/>
      <w:contextualSpacing/>
    </w:pPr>
    <w:rPr>
      <w:szCs w:val="28"/>
      <w:lang w:bidi="th-TH"/>
    </w:rPr>
  </w:style>
  <w:style w:type="character" w:styleId="IntenseEmphasis">
    <w:name w:val="Intense Emphasis"/>
    <w:basedOn w:val="DefaultParagraphFont"/>
    <w:uiPriority w:val="21"/>
    <w:qFormat/>
    <w:rsid w:val="00444423"/>
    <w:rPr>
      <w:i/>
      <w:iCs/>
      <w:color w:val="0F4761" w:themeColor="accent1" w:themeShade="BF"/>
    </w:rPr>
  </w:style>
  <w:style w:type="paragraph" w:styleId="IntenseQuote">
    <w:name w:val="Intense Quote"/>
    <w:basedOn w:val="Normal"/>
    <w:next w:val="Normal"/>
    <w:link w:val="IntenseQuoteChar"/>
    <w:uiPriority w:val="30"/>
    <w:qFormat/>
    <w:rsid w:val="00444423"/>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8"/>
      <w:lang w:bidi="th-TH"/>
    </w:rPr>
  </w:style>
  <w:style w:type="character" w:customStyle="1" w:styleId="IntenseQuoteChar">
    <w:name w:val="Intense Quote Char"/>
    <w:basedOn w:val="DefaultParagraphFont"/>
    <w:link w:val="IntenseQuote"/>
    <w:uiPriority w:val="30"/>
    <w:rsid w:val="00444423"/>
    <w:rPr>
      <w:i/>
      <w:iCs/>
      <w:color w:val="0F4761" w:themeColor="accent1" w:themeShade="BF"/>
    </w:rPr>
  </w:style>
  <w:style w:type="character" w:styleId="IntenseReference">
    <w:name w:val="Intense Reference"/>
    <w:basedOn w:val="DefaultParagraphFont"/>
    <w:uiPriority w:val="32"/>
    <w:qFormat/>
    <w:rsid w:val="004444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344</Words>
  <Characters>1585</Characters>
  <Application>Microsoft Office Word</Application>
  <DocSecurity>0</DocSecurity>
  <Lines>132</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Andrzej Januszewski</dc:creator>
  <cp:keywords/>
  <dc:description/>
  <cp:lastModifiedBy>Andrzej Januszewski</cp:lastModifiedBy>
  <cp:revision>1</cp:revision>
  <dcterms:created xsi:type="dcterms:W3CDTF">2026-03-13T05:34:00Z</dcterms:created>
  <dcterms:modified xsi:type="dcterms:W3CDTF">2026-03-13T06:01:00Z</dcterms:modified>
</cp:coreProperties>
</file>