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Layout w:type="fixed"/>
        <w:tblLook w:val="01E0" w:firstRow="1" w:lastRow="1" w:firstColumn="1" w:lastColumn="1" w:noHBand="0" w:noVBand="0"/>
      </w:tblPr>
      <w:tblGrid>
        <w:gridCol w:w="8640"/>
      </w:tblGrid>
      <w:tr w:rsidR="002B7FC8" w:rsidRPr="0003525D" w14:paraId="5A4DE250" w14:textId="77777777" w:rsidTr="003243E6">
        <w:tc>
          <w:tcPr>
            <w:tcW w:w="8640" w:type="dxa"/>
          </w:tcPr>
          <w:p w14:paraId="5A4DE24F" w14:textId="6BAE8B66" w:rsidR="002B7FC8" w:rsidRPr="004320A8" w:rsidRDefault="004320A8" w:rsidP="003243E6">
            <w:pPr>
              <w:jc w:val="both"/>
              <w:rPr>
                <w:rFonts w:ascii="Arial" w:hAnsi="Arial" w:cs="Arial"/>
                <w:b/>
                <w:color w:val="231F20"/>
                <w:sz w:val="22"/>
                <w:szCs w:val="22"/>
              </w:rPr>
            </w:pPr>
            <w:r w:rsidRPr="00C263B9">
              <w:rPr>
                <w:rStyle w:val="fontstyle01"/>
                <w:rFonts w:ascii="Arial" w:hAnsi="Arial" w:cs="Arial"/>
                <w:b/>
                <w:sz w:val="22"/>
                <w:szCs w:val="22"/>
              </w:rPr>
              <w:t>Understanding the contribution of physical and social environments to healthy aging: an evidence from Chinese aged populations</w:t>
            </w:r>
            <w:bookmarkStart w:id="0" w:name="_GoBack"/>
            <w:bookmarkEnd w:id="0"/>
          </w:p>
        </w:tc>
      </w:tr>
      <w:tr w:rsidR="002B7FC8" w:rsidRPr="0003525D" w14:paraId="5A4DE264" w14:textId="77777777" w:rsidTr="003243E6">
        <w:trPr>
          <w:trHeight w:val="7663"/>
        </w:trPr>
        <w:tc>
          <w:tcPr>
            <w:tcW w:w="8640" w:type="dxa"/>
          </w:tcPr>
          <w:p w14:paraId="5D1CF968" w14:textId="77777777" w:rsidR="004320A8" w:rsidRPr="00C263B9" w:rsidRDefault="004320A8" w:rsidP="003243E6">
            <w:pPr>
              <w:widowControl w:val="0"/>
              <w:jc w:val="both"/>
              <w:rPr>
                <w:rStyle w:val="fontstyle01"/>
                <w:rFonts w:ascii="Arial" w:hAnsi="Arial" w:cs="Arial"/>
                <w:sz w:val="22"/>
                <w:szCs w:val="22"/>
              </w:rPr>
            </w:pPr>
            <w:r w:rsidRPr="00C263B9">
              <w:rPr>
                <w:rStyle w:val="fontstyle01"/>
                <w:rFonts w:ascii="Arial" w:hAnsi="Arial" w:cs="Arial"/>
                <w:b/>
                <w:sz w:val="22"/>
                <w:szCs w:val="22"/>
              </w:rPr>
              <w:t>Background:</w:t>
            </w:r>
            <w:r w:rsidRPr="00C263B9">
              <w:rPr>
                <w:rStyle w:val="fontstyle01"/>
                <w:rFonts w:ascii="Arial" w:hAnsi="Arial" w:cs="Arial"/>
                <w:sz w:val="22"/>
                <w:szCs w:val="22"/>
              </w:rPr>
              <w:t xml:space="preserve"> To meet the challenges of aging population, world health organization (WHO) proposed the goal of healthy aging. It emphasized the role of individual’s intrinsic capacity and related environments, which both affected functional ability. </w:t>
            </w:r>
            <w:r w:rsidRPr="00C263B9">
              <w:rPr>
                <w:rFonts w:ascii="Arial" w:hAnsi="Arial" w:cs="Arial"/>
                <w:sz w:val="22"/>
                <w:szCs w:val="22"/>
              </w:rPr>
              <w:t>Frailty was occurred by the decline of physiological reserve and is seen as reflecting an interaction among individual factors and a range of environment elements. Moreover, frailty represents a public health priority for its highly and increasingly prevalent condition in the aging populations. Given the</w:t>
            </w:r>
            <w:r w:rsidRPr="00C263B9">
              <w:rPr>
                <w:rStyle w:val="fontstyle01"/>
                <w:rFonts w:ascii="Arial" w:hAnsi="Arial" w:cs="Arial"/>
                <w:sz w:val="22"/>
                <w:szCs w:val="22"/>
              </w:rPr>
              <w:t xml:space="preserve"> current few evidences,</w:t>
            </w:r>
            <w:r w:rsidRPr="00C263B9">
              <w:rPr>
                <w:rFonts w:ascii="Arial" w:hAnsi="Arial" w:cs="Arial"/>
                <w:sz w:val="22"/>
                <w:szCs w:val="22"/>
              </w:rPr>
              <w:t xml:space="preserve"> t</w:t>
            </w:r>
            <w:r w:rsidRPr="00C263B9">
              <w:rPr>
                <w:rStyle w:val="fontstyle01"/>
                <w:rFonts w:ascii="Arial" w:hAnsi="Arial" w:cs="Arial"/>
                <w:sz w:val="22"/>
                <w:szCs w:val="22"/>
              </w:rPr>
              <w:t>his study aims to examine the association between</w:t>
            </w:r>
            <w:r w:rsidRPr="00C263B9">
              <w:rPr>
                <w:rFonts w:ascii="Arial" w:hAnsi="Arial" w:cs="Arial"/>
                <w:sz w:val="22"/>
                <w:szCs w:val="22"/>
              </w:rPr>
              <w:t xml:space="preserve"> both </w:t>
            </w:r>
            <w:r w:rsidRPr="00C263B9">
              <w:rPr>
                <w:rStyle w:val="fontstyle01"/>
                <w:rFonts w:ascii="Arial" w:hAnsi="Arial" w:cs="Arial"/>
                <w:sz w:val="22"/>
                <w:szCs w:val="22"/>
              </w:rPr>
              <w:t>physical and social environments with frailty among Chinese older people.</w:t>
            </w:r>
          </w:p>
          <w:p w14:paraId="3B98E3A6" w14:textId="2274C89C" w:rsidR="004320A8" w:rsidRPr="00C263B9" w:rsidRDefault="004320A8" w:rsidP="003243E6">
            <w:pPr>
              <w:widowControl w:val="0"/>
              <w:jc w:val="both"/>
              <w:rPr>
                <w:rStyle w:val="fontstyle01"/>
                <w:rFonts w:ascii="Arial" w:hAnsi="Arial" w:cs="Arial"/>
                <w:sz w:val="22"/>
                <w:szCs w:val="22"/>
              </w:rPr>
            </w:pPr>
            <w:r w:rsidRPr="00C263B9">
              <w:rPr>
                <w:rStyle w:val="fontstyle01"/>
                <w:rFonts w:ascii="Arial" w:hAnsi="Arial" w:cs="Arial"/>
                <w:b/>
                <w:sz w:val="22"/>
                <w:szCs w:val="22"/>
              </w:rPr>
              <w:t>Methods:</w:t>
            </w:r>
            <w:r w:rsidRPr="00C263B9">
              <w:rPr>
                <w:rStyle w:val="fontstyle01"/>
                <w:rFonts w:ascii="Arial" w:hAnsi="Arial" w:cs="Arial"/>
                <w:sz w:val="22"/>
                <w:szCs w:val="22"/>
              </w:rPr>
              <w:t xml:space="preserve"> D</w:t>
            </w:r>
            <w:r w:rsidRPr="00C263B9">
              <w:rPr>
                <w:rFonts w:ascii="Arial" w:hAnsi="Arial" w:cs="Arial"/>
                <w:sz w:val="22"/>
                <w:szCs w:val="22"/>
              </w:rPr>
              <w:t>ata were from the Shanghai Health</w:t>
            </w:r>
            <w:r w:rsidR="00EF0F9B">
              <w:rPr>
                <w:rFonts w:ascii="Arial" w:hAnsi="Arial" w:cs="Arial" w:hint="eastAsia"/>
                <w:sz w:val="22"/>
                <w:szCs w:val="22"/>
                <w:lang w:eastAsia="zh-CN"/>
              </w:rPr>
              <w:t>y</w:t>
            </w:r>
            <w:r w:rsidRPr="00C263B9">
              <w:rPr>
                <w:rFonts w:ascii="Arial" w:hAnsi="Arial" w:cs="Arial"/>
                <w:sz w:val="22"/>
                <w:szCs w:val="22"/>
              </w:rPr>
              <w:t xml:space="preserve"> City Survey in 2017, a subsample of </w:t>
            </w:r>
            <w:r w:rsidRPr="00C263B9">
              <w:rPr>
                <w:rStyle w:val="fontstyle01"/>
                <w:rFonts w:ascii="Arial" w:hAnsi="Arial" w:cs="Arial"/>
                <w:sz w:val="22"/>
                <w:szCs w:val="22"/>
              </w:rPr>
              <w:t xml:space="preserve">2,154 respondents aged ≥60 years from 42 </w:t>
            </w:r>
            <w:r w:rsidR="00EF0F9B" w:rsidRPr="00C263B9">
              <w:rPr>
                <w:rStyle w:val="fontstyle01"/>
                <w:rFonts w:ascii="Arial" w:hAnsi="Arial" w:cs="Arial"/>
                <w:sz w:val="22"/>
                <w:szCs w:val="22"/>
              </w:rPr>
              <w:t>neighbourhoods</w:t>
            </w:r>
            <w:r>
              <w:rPr>
                <w:rStyle w:val="fontstyle01"/>
                <w:rFonts w:ascii="Arial" w:hAnsi="Arial" w:cs="Arial"/>
                <w:sz w:val="22"/>
                <w:szCs w:val="22"/>
              </w:rPr>
              <w:t xml:space="preserve"> </w:t>
            </w:r>
            <w:r w:rsidRPr="00C263B9">
              <w:rPr>
                <w:rStyle w:val="fontstyle01"/>
                <w:rFonts w:ascii="Arial" w:hAnsi="Arial" w:cs="Arial"/>
                <w:sz w:val="22"/>
                <w:szCs w:val="22"/>
              </w:rPr>
              <w:t xml:space="preserve">were conducted in current study. The FRAIL scale was used to assess frailty; and physical and social environments of </w:t>
            </w:r>
            <w:r w:rsidR="00EF0F9B" w:rsidRPr="00C263B9">
              <w:rPr>
                <w:rStyle w:val="fontstyle01"/>
                <w:rFonts w:ascii="Arial" w:hAnsi="Arial" w:cs="Arial"/>
                <w:sz w:val="22"/>
                <w:szCs w:val="22"/>
              </w:rPr>
              <w:t>neighbourhood</w:t>
            </w:r>
            <w:r w:rsidRPr="00C263B9">
              <w:rPr>
                <w:rStyle w:val="fontstyle01"/>
                <w:rFonts w:ascii="Arial" w:hAnsi="Arial" w:cs="Arial"/>
                <w:sz w:val="22"/>
                <w:szCs w:val="22"/>
              </w:rPr>
              <w:t xml:space="preserve"> were assessed using validated and psychometrically tested instruments. Sociodemographic characteristics included age, gender, education, marital status, employment, smoking, </w:t>
            </w:r>
            <w:r w:rsidR="00EF0F9B">
              <w:rPr>
                <w:rStyle w:val="fontstyle01"/>
                <w:rFonts w:ascii="Arial" w:hAnsi="Arial" w:cs="Arial" w:hint="eastAsia"/>
                <w:sz w:val="22"/>
                <w:szCs w:val="22"/>
                <w:lang w:eastAsia="zh-CN"/>
              </w:rPr>
              <w:t>drinking</w:t>
            </w:r>
            <w:r w:rsidRPr="00C263B9">
              <w:rPr>
                <w:rStyle w:val="fontstyle01"/>
                <w:rFonts w:ascii="Arial" w:hAnsi="Arial" w:cs="Arial"/>
                <w:sz w:val="22"/>
                <w:szCs w:val="22"/>
              </w:rPr>
              <w:t xml:space="preserve"> and physical exercise. Multilevel analysis was conducted to examine whether physical and social environments were associated with frailty.</w:t>
            </w:r>
          </w:p>
          <w:p w14:paraId="73621B1D" w14:textId="15E8C75B" w:rsidR="004320A8" w:rsidRPr="00C263B9" w:rsidRDefault="004320A8" w:rsidP="003243E6">
            <w:pPr>
              <w:widowControl w:val="0"/>
              <w:jc w:val="both"/>
              <w:rPr>
                <w:rStyle w:val="fontstyle01"/>
                <w:rFonts w:ascii="Arial" w:hAnsi="Arial" w:cs="Arial"/>
                <w:sz w:val="22"/>
                <w:szCs w:val="22"/>
              </w:rPr>
            </w:pPr>
            <w:r w:rsidRPr="00C263B9">
              <w:rPr>
                <w:rStyle w:val="fontstyle01"/>
                <w:rFonts w:ascii="Arial" w:hAnsi="Arial" w:cs="Arial"/>
                <w:b/>
                <w:sz w:val="22"/>
                <w:szCs w:val="22"/>
              </w:rPr>
              <w:t>Results:</w:t>
            </w:r>
            <w:r w:rsidRPr="00C263B9">
              <w:rPr>
                <w:rStyle w:val="fontstyle01"/>
                <w:rFonts w:ascii="Arial" w:hAnsi="Arial" w:cs="Arial"/>
                <w:sz w:val="22"/>
                <w:szCs w:val="22"/>
              </w:rPr>
              <w:t xml:space="preserve"> The prevalence of pre-frail status and frail status were 40.1% (95%CI: 38.0%~42.2%) and 16.2% (95%CI: 14.7%~17.7%), respectively. </w:t>
            </w:r>
            <w:r>
              <w:rPr>
                <w:rStyle w:val="fontstyle01"/>
                <w:rFonts w:ascii="Arial" w:hAnsi="Arial" w:cs="Arial"/>
                <w:sz w:val="22"/>
                <w:szCs w:val="22"/>
              </w:rPr>
              <w:t>T</w:t>
            </w:r>
            <w:r>
              <w:rPr>
                <w:rStyle w:val="fontstyle01"/>
                <w:rFonts w:ascii="Arial" w:hAnsi="Arial" w:cs="Arial" w:hint="eastAsia"/>
                <w:sz w:val="22"/>
                <w:szCs w:val="22"/>
                <w:lang w:eastAsia="zh-CN"/>
              </w:rPr>
              <w:t>hose</w:t>
            </w:r>
            <w:r>
              <w:rPr>
                <w:rStyle w:val="fontstyle01"/>
                <w:rFonts w:ascii="Arial" w:hAnsi="Arial" w:cs="Arial"/>
                <w:sz w:val="22"/>
                <w:szCs w:val="22"/>
              </w:rPr>
              <w:t xml:space="preserve"> </w:t>
            </w:r>
            <w:r>
              <w:rPr>
                <w:rStyle w:val="fontstyle01"/>
                <w:rFonts w:ascii="Arial" w:hAnsi="Arial" w:cs="Arial" w:hint="eastAsia"/>
                <w:sz w:val="22"/>
                <w:szCs w:val="22"/>
                <w:lang w:eastAsia="zh-CN"/>
              </w:rPr>
              <w:t>who</w:t>
            </w:r>
            <w:r>
              <w:rPr>
                <w:rStyle w:val="fontstyle01"/>
                <w:rFonts w:ascii="Arial" w:hAnsi="Arial" w:cs="Arial"/>
                <w:sz w:val="22"/>
                <w:szCs w:val="22"/>
              </w:rPr>
              <w:t xml:space="preserve"> were aged, unmarried, alcohol dependence and without </w:t>
            </w:r>
            <w:r w:rsidRPr="00C263B9">
              <w:rPr>
                <w:rStyle w:val="fontstyle01"/>
                <w:rFonts w:ascii="Arial" w:hAnsi="Arial" w:cs="Arial"/>
                <w:sz w:val="22"/>
                <w:szCs w:val="22"/>
              </w:rPr>
              <w:t>physical exercise had a higher risk of frailty</w:t>
            </w:r>
            <w:r w:rsidR="00EF0F9B">
              <w:rPr>
                <w:rStyle w:val="fontstyle01"/>
                <w:rFonts w:ascii="Arial" w:hAnsi="Arial" w:cs="Arial"/>
                <w:sz w:val="22"/>
                <w:szCs w:val="22"/>
              </w:rPr>
              <w:t>.</w:t>
            </w:r>
            <w:r w:rsidRPr="00C263B9">
              <w:rPr>
                <w:rStyle w:val="fontstyle01"/>
                <w:rFonts w:ascii="Arial" w:hAnsi="Arial" w:cs="Arial"/>
                <w:sz w:val="22"/>
                <w:szCs w:val="22"/>
              </w:rPr>
              <w:t xml:space="preserve"> Multilevel analysis indicated that after controlling for all covariates, </w:t>
            </w:r>
            <w:r>
              <w:rPr>
                <w:rStyle w:val="fontstyle01"/>
                <w:rFonts w:ascii="Arial" w:hAnsi="Arial" w:cs="Arial"/>
                <w:sz w:val="22"/>
                <w:szCs w:val="22"/>
              </w:rPr>
              <w:t>individual-level aesthetic quality</w:t>
            </w:r>
            <w:r w:rsidRPr="00C263B9">
              <w:rPr>
                <w:rStyle w:val="fontstyle01"/>
                <w:rFonts w:ascii="Arial" w:hAnsi="Arial" w:cs="Arial"/>
                <w:sz w:val="22"/>
                <w:szCs w:val="22"/>
              </w:rPr>
              <w:t xml:space="preserve">, </w:t>
            </w:r>
            <w:r>
              <w:rPr>
                <w:rStyle w:val="fontstyle01"/>
                <w:rFonts w:ascii="Arial" w:hAnsi="Arial" w:cs="Arial"/>
                <w:sz w:val="22"/>
                <w:szCs w:val="22"/>
              </w:rPr>
              <w:t>social cohesion</w:t>
            </w:r>
            <w:r w:rsidRPr="00C263B9">
              <w:rPr>
                <w:rStyle w:val="fontstyle01"/>
                <w:rFonts w:ascii="Arial" w:hAnsi="Arial" w:cs="Arial"/>
                <w:sz w:val="22"/>
                <w:szCs w:val="22"/>
              </w:rPr>
              <w:t xml:space="preserve"> and </w:t>
            </w:r>
            <w:r>
              <w:rPr>
                <w:rStyle w:val="fontstyle01"/>
                <w:rFonts w:ascii="Arial" w:hAnsi="Arial" w:cs="Arial"/>
                <w:sz w:val="22"/>
                <w:szCs w:val="22"/>
              </w:rPr>
              <w:t>social participation</w:t>
            </w:r>
            <w:r w:rsidRPr="00C263B9">
              <w:rPr>
                <w:rStyle w:val="fontstyle01"/>
                <w:rFonts w:ascii="Arial" w:hAnsi="Arial" w:cs="Arial"/>
                <w:sz w:val="22"/>
                <w:szCs w:val="22"/>
              </w:rPr>
              <w:t xml:space="preserve">, and </w:t>
            </w:r>
            <w:r w:rsidR="00EF0F9B" w:rsidRPr="00C263B9">
              <w:rPr>
                <w:rStyle w:val="fontstyle01"/>
                <w:rFonts w:ascii="Arial" w:hAnsi="Arial" w:cs="Arial"/>
                <w:sz w:val="22"/>
                <w:szCs w:val="22"/>
              </w:rPr>
              <w:t>neighbourhood</w:t>
            </w:r>
            <w:r w:rsidRPr="00C263B9">
              <w:rPr>
                <w:rStyle w:val="fontstyle01"/>
                <w:rFonts w:ascii="Arial" w:hAnsi="Arial" w:cs="Arial"/>
                <w:sz w:val="22"/>
                <w:szCs w:val="22"/>
              </w:rPr>
              <w:t xml:space="preserve">-level </w:t>
            </w:r>
            <w:r>
              <w:rPr>
                <w:rStyle w:val="fontstyle01"/>
                <w:rFonts w:ascii="Arial" w:hAnsi="Arial" w:cs="Arial"/>
                <w:sz w:val="22"/>
                <w:szCs w:val="22"/>
              </w:rPr>
              <w:t>walkability</w:t>
            </w:r>
            <w:r w:rsidRPr="00C263B9">
              <w:rPr>
                <w:rStyle w:val="fontstyle01"/>
                <w:rFonts w:ascii="Arial" w:hAnsi="Arial" w:cs="Arial"/>
                <w:sz w:val="22"/>
                <w:szCs w:val="22"/>
              </w:rPr>
              <w:t xml:space="preserve"> were significant negatively correlated to frailty, with the ORs </w:t>
            </w:r>
            <w:r w:rsidR="00EF0F9B">
              <w:rPr>
                <w:rStyle w:val="fontstyle01"/>
                <w:rFonts w:ascii="Arial" w:hAnsi="Arial" w:cs="Arial"/>
                <w:sz w:val="22"/>
                <w:szCs w:val="22"/>
              </w:rPr>
              <w:t xml:space="preserve">(95%CI) </w:t>
            </w:r>
            <w:r w:rsidRPr="00C263B9">
              <w:rPr>
                <w:rStyle w:val="fontstyle01"/>
                <w:rFonts w:ascii="Arial" w:hAnsi="Arial" w:cs="Arial"/>
                <w:sz w:val="22"/>
                <w:szCs w:val="22"/>
              </w:rPr>
              <w:t xml:space="preserve">of quartiles were </w:t>
            </w:r>
            <w:r w:rsidRPr="00C263B9">
              <w:rPr>
                <w:rFonts w:ascii="Arial" w:hAnsi="Arial" w:cs="Arial"/>
                <w:sz w:val="22"/>
                <w:szCs w:val="22"/>
              </w:rPr>
              <w:t>0.89 (</w:t>
            </w:r>
            <w:r w:rsidRPr="00C263B9">
              <w:rPr>
                <w:rFonts w:ascii="Arial" w:eastAsia="DengXian" w:hAnsi="Arial" w:cs="Arial"/>
                <w:bCs/>
                <w:sz w:val="22"/>
                <w:szCs w:val="22"/>
              </w:rPr>
              <w:t>0.80-0.99</w:t>
            </w:r>
            <w:r w:rsidRPr="00C263B9">
              <w:rPr>
                <w:rFonts w:ascii="Arial" w:hAnsi="Arial" w:cs="Arial"/>
                <w:sz w:val="22"/>
                <w:szCs w:val="22"/>
              </w:rPr>
              <w:t>), 0.90 (</w:t>
            </w:r>
            <w:r w:rsidRPr="00C263B9">
              <w:rPr>
                <w:rFonts w:ascii="Arial" w:eastAsia="DengXian" w:hAnsi="Arial" w:cs="Arial"/>
                <w:bCs/>
                <w:sz w:val="22"/>
                <w:szCs w:val="22"/>
              </w:rPr>
              <w:t>0.82-0.99</w:t>
            </w:r>
            <w:r w:rsidRPr="00C263B9">
              <w:rPr>
                <w:rFonts w:ascii="Arial" w:hAnsi="Arial" w:cs="Arial"/>
                <w:sz w:val="22"/>
                <w:szCs w:val="22"/>
              </w:rPr>
              <w:t>), 0.86 (</w:t>
            </w:r>
            <w:r w:rsidRPr="00C263B9">
              <w:rPr>
                <w:rFonts w:ascii="Arial" w:eastAsia="DengXian" w:hAnsi="Arial" w:cs="Arial"/>
                <w:bCs/>
                <w:sz w:val="22"/>
                <w:szCs w:val="22"/>
              </w:rPr>
              <w:t>0.78-0.94</w:t>
            </w:r>
            <w:r w:rsidRPr="00C263B9">
              <w:rPr>
                <w:rFonts w:ascii="Arial" w:hAnsi="Arial" w:cs="Arial"/>
                <w:sz w:val="22"/>
                <w:szCs w:val="22"/>
              </w:rPr>
              <w:t>)</w:t>
            </w:r>
            <w:r w:rsidRPr="00C263B9">
              <w:rPr>
                <w:rStyle w:val="fontstyle01"/>
                <w:rFonts w:ascii="Arial" w:hAnsi="Arial" w:cs="Arial"/>
                <w:sz w:val="22"/>
                <w:szCs w:val="22"/>
              </w:rPr>
              <w:t xml:space="preserve"> and </w:t>
            </w:r>
            <w:r w:rsidRPr="00C263B9">
              <w:rPr>
                <w:rFonts w:ascii="Arial" w:hAnsi="Arial" w:cs="Arial"/>
                <w:sz w:val="22"/>
                <w:szCs w:val="22"/>
              </w:rPr>
              <w:t>0.74 (</w:t>
            </w:r>
            <w:r w:rsidRPr="00C263B9">
              <w:rPr>
                <w:rFonts w:ascii="Arial" w:eastAsia="DengXian" w:hAnsi="Arial" w:cs="Arial"/>
                <w:bCs/>
                <w:sz w:val="22"/>
                <w:szCs w:val="22"/>
              </w:rPr>
              <w:t>0.57-0.97</w:t>
            </w:r>
            <w:r w:rsidRPr="00C263B9">
              <w:rPr>
                <w:rFonts w:ascii="Arial" w:hAnsi="Arial" w:cs="Arial"/>
                <w:sz w:val="22"/>
                <w:szCs w:val="22"/>
              </w:rPr>
              <w:t>), respectively.</w:t>
            </w:r>
          </w:p>
          <w:p w14:paraId="15B71023" w14:textId="605EE8EF" w:rsidR="004320A8" w:rsidRPr="00C263B9" w:rsidRDefault="004C3741" w:rsidP="003243E6">
            <w:pPr>
              <w:widowControl w:val="0"/>
              <w:jc w:val="both"/>
              <w:rPr>
                <w:rStyle w:val="fontstyle01"/>
                <w:rFonts w:ascii="Arial" w:hAnsi="Arial" w:cs="Arial"/>
                <w:sz w:val="22"/>
                <w:szCs w:val="22"/>
              </w:rPr>
            </w:pPr>
            <w:r>
              <w:rPr>
                <w:rStyle w:val="fontstyle01"/>
                <w:rFonts w:ascii="Arial" w:hAnsi="Arial" w:cs="Arial"/>
                <w:b/>
                <w:sz w:val="22"/>
                <w:szCs w:val="22"/>
              </w:rPr>
              <w:t>Discussion</w:t>
            </w:r>
            <w:r w:rsidR="004320A8" w:rsidRPr="00C263B9">
              <w:rPr>
                <w:rStyle w:val="fontstyle01"/>
                <w:rFonts w:ascii="Arial" w:hAnsi="Arial" w:cs="Arial"/>
                <w:b/>
                <w:sz w:val="22"/>
                <w:szCs w:val="22"/>
              </w:rPr>
              <w:t>:</w:t>
            </w:r>
            <w:r w:rsidR="004320A8" w:rsidRPr="00C263B9">
              <w:rPr>
                <w:rStyle w:val="fontstyle01"/>
                <w:rFonts w:ascii="Arial" w:hAnsi="Arial" w:cs="Arial"/>
                <w:sz w:val="22"/>
                <w:szCs w:val="22"/>
              </w:rPr>
              <w:t xml:space="preserve"> F</w:t>
            </w:r>
            <w:r w:rsidR="004320A8" w:rsidRPr="00C263B9">
              <w:rPr>
                <w:rFonts w:ascii="Arial" w:hAnsi="Arial" w:cs="Arial"/>
                <w:sz w:val="22"/>
                <w:szCs w:val="22"/>
              </w:rPr>
              <w:t>railty is probably a highly prevalent health condition among the aged population in China,</w:t>
            </w:r>
            <w:r w:rsidR="004320A8" w:rsidRPr="00C263B9">
              <w:rPr>
                <w:rStyle w:val="fontstyle01"/>
                <w:rFonts w:ascii="Arial" w:hAnsi="Arial" w:cs="Arial"/>
                <w:sz w:val="22"/>
                <w:szCs w:val="22"/>
              </w:rPr>
              <w:t xml:space="preserve"> both individual factors and </w:t>
            </w:r>
            <w:r w:rsidR="00EF0F9B" w:rsidRPr="00C263B9">
              <w:rPr>
                <w:rStyle w:val="fontstyle01"/>
                <w:rFonts w:ascii="Arial" w:hAnsi="Arial" w:cs="Arial"/>
                <w:sz w:val="22"/>
                <w:szCs w:val="22"/>
              </w:rPr>
              <w:t>neighbourhood</w:t>
            </w:r>
            <w:r w:rsidR="004320A8" w:rsidRPr="00C263B9">
              <w:rPr>
                <w:rStyle w:val="fontstyle01"/>
                <w:rFonts w:ascii="Arial" w:hAnsi="Arial" w:cs="Arial"/>
                <w:sz w:val="22"/>
                <w:szCs w:val="22"/>
              </w:rPr>
              <w:t xml:space="preserve"> environments are associated with frailty. Health promotion on aged popul</w:t>
            </w:r>
            <w:r w:rsidR="00EF0F9B">
              <w:rPr>
                <w:rStyle w:val="fontstyle01"/>
                <w:rFonts w:ascii="Arial" w:hAnsi="Arial" w:cs="Arial"/>
                <w:sz w:val="22"/>
                <w:szCs w:val="22"/>
              </w:rPr>
              <w:t>ations should be more targeted, and i</w:t>
            </w:r>
            <w:r w:rsidR="004320A8" w:rsidRPr="00C263B9">
              <w:rPr>
                <w:rStyle w:val="fontstyle01"/>
                <w:rFonts w:ascii="Arial" w:hAnsi="Arial" w:cs="Arial"/>
                <w:sz w:val="22"/>
                <w:szCs w:val="22"/>
              </w:rPr>
              <w:t xml:space="preserve">t may decrease frailty among Chinese older people to encourage social participation, health </w:t>
            </w:r>
            <w:r w:rsidR="00EF0F9B" w:rsidRPr="00C263B9">
              <w:rPr>
                <w:rStyle w:val="fontstyle01"/>
                <w:rFonts w:ascii="Arial" w:hAnsi="Arial" w:cs="Arial"/>
                <w:sz w:val="22"/>
                <w:szCs w:val="22"/>
              </w:rPr>
              <w:t>behaviours</w:t>
            </w:r>
            <w:r w:rsidR="004320A8" w:rsidRPr="00C263B9">
              <w:rPr>
                <w:rStyle w:val="fontstyle01"/>
                <w:rFonts w:ascii="Arial" w:hAnsi="Arial" w:cs="Arial"/>
                <w:sz w:val="22"/>
                <w:szCs w:val="22"/>
              </w:rPr>
              <w:t xml:space="preserve">, and build aesthetic, walkable and cohesive </w:t>
            </w:r>
            <w:r w:rsidR="00EF0F9B" w:rsidRPr="00C263B9">
              <w:rPr>
                <w:rStyle w:val="fontstyle01"/>
                <w:rFonts w:ascii="Arial" w:hAnsi="Arial" w:cs="Arial"/>
                <w:sz w:val="22"/>
                <w:szCs w:val="22"/>
              </w:rPr>
              <w:t>neighbourhoods</w:t>
            </w:r>
            <w:r w:rsidR="004320A8" w:rsidRPr="00C263B9">
              <w:rPr>
                <w:rStyle w:val="fontstyle01"/>
                <w:rFonts w:ascii="Arial" w:hAnsi="Arial" w:cs="Arial"/>
                <w:sz w:val="22"/>
                <w:szCs w:val="22"/>
              </w:rPr>
              <w:t>.</w:t>
            </w:r>
          </w:p>
          <w:p w14:paraId="5A4DE263" w14:textId="2F3F0BED" w:rsidR="00DA7A71" w:rsidRPr="00083E76" w:rsidRDefault="004320A8" w:rsidP="003243E6">
            <w:pPr>
              <w:jc w:val="both"/>
              <w:rPr>
                <w:rFonts w:ascii="Arial" w:hAnsi="Arial" w:cs="Arial"/>
                <w:color w:val="231F20"/>
                <w:sz w:val="22"/>
                <w:szCs w:val="22"/>
              </w:rPr>
            </w:pPr>
            <w:r w:rsidRPr="00C263B9">
              <w:rPr>
                <w:rStyle w:val="fontstyle01"/>
                <w:rFonts w:ascii="Arial" w:hAnsi="Arial" w:cs="Arial"/>
                <w:b/>
                <w:sz w:val="22"/>
                <w:szCs w:val="22"/>
              </w:rPr>
              <w:t>Keywords:</w:t>
            </w:r>
            <w:r w:rsidRPr="00C263B9">
              <w:rPr>
                <w:rStyle w:val="fontstyle01"/>
                <w:rFonts w:ascii="Arial" w:hAnsi="Arial" w:cs="Arial"/>
                <w:sz w:val="22"/>
                <w:szCs w:val="22"/>
              </w:rPr>
              <w:t xml:space="preserve"> healthy aging, frailty, physical environment, social environment, multilevel </w:t>
            </w:r>
            <w:r w:rsidR="00EF0F9B" w:rsidRPr="00C263B9">
              <w:rPr>
                <w:rStyle w:val="fontstyle01"/>
                <w:rFonts w:ascii="Arial" w:hAnsi="Arial" w:cs="Arial"/>
                <w:sz w:val="22"/>
                <w:szCs w:val="22"/>
              </w:rPr>
              <w:t>modelling</w:t>
            </w:r>
            <w:r w:rsidRPr="00C263B9">
              <w:rPr>
                <w:rStyle w:val="fontstyle01"/>
                <w:rFonts w:ascii="Arial" w:hAnsi="Arial" w:cs="Arial"/>
                <w:sz w:val="22"/>
                <w:szCs w:val="22"/>
              </w:rPr>
              <w:t>.</w:t>
            </w:r>
          </w:p>
        </w:tc>
      </w:tr>
    </w:tbl>
    <w:p w14:paraId="5A4DE265" w14:textId="4C2C1C75" w:rsidR="00490208" w:rsidRDefault="00490208" w:rsidP="003243E6">
      <w:pPr>
        <w:jc w:val="both"/>
      </w:pPr>
    </w:p>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7BC8C" w14:textId="77777777" w:rsidR="00427B54" w:rsidRDefault="00427B54" w:rsidP="00600E34">
      <w:r>
        <w:separator/>
      </w:r>
    </w:p>
  </w:endnote>
  <w:endnote w:type="continuationSeparator" w:id="0">
    <w:p w14:paraId="55BB85FE" w14:textId="77777777" w:rsidR="00427B54" w:rsidRDefault="00427B54" w:rsidP="0060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fwmbbAdvTT86d47313">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51CA" w14:textId="77777777" w:rsidR="00427B54" w:rsidRDefault="00427B54" w:rsidP="00600E34">
      <w:r>
        <w:separator/>
      </w:r>
    </w:p>
  </w:footnote>
  <w:footnote w:type="continuationSeparator" w:id="0">
    <w:p w14:paraId="4B0F3844" w14:textId="77777777" w:rsidR="00427B54" w:rsidRDefault="00427B54" w:rsidP="00600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83E76"/>
    <w:rsid w:val="0009563B"/>
    <w:rsid w:val="000C05CE"/>
    <w:rsid w:val="00131D1E"/>
    <w:rsid w:val="001C3A37"/>
    <w:rsid w:val="00211765"/>
    <w:rsid w:val="00230B21"/>
    <w:rsid w:val="00234EAA"/>
    <w:rsid w:val="00242808"/>
    <w:rsid w:val="002642B0"/>
    <w:rsid w:val="00294265"/>
    <w:rsid w:val="002B7FC8"/>
    <w:rsid w:val="002F34DB"/>
    <w:rsid w:val="00317FFE"/>
    <w:rsid w:val="003243E6"/>
    <w:rsid w:val="00363AF7"/>
    <w:rsid w:val="003A6236"/>
    <w:rsid w:val="003B15A7"/>
    <w:rsid w:val="003F596D"/>
    <w:rsid w:val="00427B54"/>
    <w:rsid w:val="004320A8"/>
    <w:rsid w:val="00490208"/>
    <w:rsid w:val="004B025B"/>
    <w:rsid w:val="004B5B95"/>
    <w:rsid w:val="004B7D91"/>
    <w:rsid w:val="004C3741"/>
    <w:rsid w:val="004C45A1"/>
    <w:rsid w:val="004E345D"/>
    <w:rsid w:val="00564331"/>
    <w:rsid w:val="00590824"/>
    <w:rsid w:val="005F7DC7"/>
    <w:rsid w:val="00600E34"/>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87462"/>
    <w:rsid w:val="00AA1598"/>
    <w:rsid w:val="00AA5B46"/>
    <w:rsid w:val="00AB42C9"/>
    <w:rsid w:val="00B12CD1"/>
    <w:rsid w:val="00B20967"/>
    <w:rsid w:val="00B252F7"/>
    <w:rsid w:val="00B766BF"/>
    <w:rsid w:val="00BC5CBE"/>
    <w:rsid w:val="00C01CEB"/>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F0F9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600E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600E34"/>
    <w:rPr>
      <w:sz w:val="18"/>
      <w:szCs w:val="18"/>
      <w:lang w:val="en-GB" w:eastAsia="en-US"/>
    </w:rPr>
  </w:style>
  <w:style w:type="paragraph" w:styleId="Footer">
    <w:name w:val="footer"/>
    <w:basedOn w:val="Normal"/>
    <w:link w:val="FooterChar"/>
    <w:unhideWhenUsed/>
    <w:rsid w:val="00600E34"/>
    <w:pPr>
      <w:tabs>
        <w:tab w:val="center" w:pos="4153"/>
        <w:tab w:val="right" w:pos="8306"/>
      </w:tabs>
      <w:snapToGrid w:val="0"/>
    </w:pPr>
    <w:rPr>
      <w:sz w:val="18"/>
      <w:szCs w:val="18"/>
    </w:rPr>
  </w:style>
  <w:style w:type="character" w:customStyle="1" w:styleId="FooterChar">
    <w:name w:val="Footer Char"/>
    <w:basedOn w:val="DefaultParagraphFont"/>
    <w:link w:val="Footer"/>
    <w:rsid w:val="00600E34"/>
    <w:rPr>
      <w:sz w:val="18"/>
      <w:szCs w:val="18"/>
      <w:lang w:val="en-GB" w:eastAsia="en-US"/>
    </w:rPr>
  </w:style>
  <w:style w:type="character" w:customStyle="1" w:styleId="fontstyle01">
    <w:name w:val="fontstyle01"/>
    <w:basedOn w:val="DefaultParagraphFont"/>
    <w:rsid w:val="004320A8"/>
    <w:rPr>
      <w:rFonts w:ascii="JfwmbbAdvTT86d47313" w:hAnsi="JfwmbbAdvTT86d47313"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0E4B843-A490-4F18-BEB3-FB2A58C0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2218</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2018-12-06T20:38:00Z</dcterms:created>
  <dcterms:modified xsi:type="dcterms:W3CDTF">2018-12-06T20:38:00Z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