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2D6FE7B" w:rsidR="001564A4" w:rsidRPr="0050053A" w:rsidRDefault="009E7DA2" w:rsidP="00620EFF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9E7DA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Biodistribution of inhaled AD-214 in a sheep model of lung fibrosis – a proof of concept study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2C2A6A95" w:rsidR="001564A4" w:rsidRPr="00413B94" w:rsidRDefault="009E7DA2" w:rsidP="00620EF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Habtamu B. Derseh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David Piedrafita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Sylvie Bischof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Andrew Davies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Paris Papagianis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Michael de Veer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Lauren Hudswell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Richard McIntyre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Stacey Rudd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Christian Wichmann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Katie Leach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Angus Tester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Louise Organ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9E7DA2">
              <w:rPr>
                <w:rFonts w:ascii="Arial" w:hAnsi="Arial" w:cs="Arial"/>
                <w:sz w:val="22"/>
                <w:szCs w:val="22"/>
                <w:lang w:val="en-US" w:eastAsia="en-GB"/>
              </w:rPr>
              <w:t>, Robert Bischof</w:t>
            </w:r>
            <w:r w:rsidRPr="009E7DA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1,2 </w:t>
            </w:r>
          </w:p>
        </w:tc>
      </w:tr>
      <w:tr w:rsidR="001564A4" w:rsidRPr="0050053A" w14:paraId="385A19D9" w14:textId="77777777" w:rsidTr="009E7DA2">
        <w:trPr>
          <w:trHeight w:val="2897"/>
          <w:jc w:val="center"/>
        </w:trPr>
        <w:tc>
          <w:tcPr>
            <w:tcW w:w="8640" w:type="dxa"/>
            <w:shd w:val="clear" w:color="auto" w:fill="auto"/>
          </w:tcPr>
          <w:p w14:paraId="3E3CF9D1" w14:textId="2D18827E" w:rsidR="009E7DA2" w:rsidRPr="009E7DA2" w:rsidRDefault="009E7DA2" w:rsidP="00620EFF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E7DA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9E7DA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Institute of Innovation, Science and Sustainability, Federation University Australia, Berwick and Churchill, VIC, Australia</w:t>
            </w:r>
          </w:p>
          <w:p w14:paraId="4448A436" w14:textId="2052EC06" w:rsidR="009E7DA2" w:rsidRPr="009E7DA2" w:rsidRDefault="009E7DA2" w:rsidP="00620EFF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E7DA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9E7DA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Allergenix Pty Ltd, Clayton VIC, Australia</w:t>
            </w:r>
          </w:p>
          <w:p w14:paraId="31D08AED" w14:textId="28356A43" w:rsidR="009E7DA2" w:rsidRPr="009E7DA2" w:rsidRDefault="009E7DA2" w:rsidP="00620EFF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E7DA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9E7DA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Biomedicine Discovery Institute, Monash University, Frankston and Clayton VIC, Australia </w:t>
            </w:r>
          </w:p>
          <w:p w14:paraId="286E81BD" w14:textId="243A5C24" w:rsidR="009E7DA2" w:rsidRPr="009E7DA2" w:rsidRDefault="009E7DA2" w:rsidP="00620EFF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E7DA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9E7DA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Monash Biomedical Imaging, Monash University, Clayton VIC, Australia </w:t>
            </w:r>
          </w:p>
          <w:p w14:paraId="3273E8C2" w14:textId="6DED95B6" w:rsidR="009E7DA2" w:rsidRPr="009E7DA2" w:rsidRDefault="009E7DA2" w:rsidP="00620EFF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E7DA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9E7DA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Olivia Newton-John Cancer Research Institute, Heidelberg VIC, Australia </w:t>
            </w:r>
          </w:p>
          <w:p w14:paraId="22A7C5A4" w14:textId="4E954FA4" w:rsidR="009E7DA2" w:rsidRPr="0050053A" w:rsidRDefault="009E7DA2" w:rsidP="00620EFF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E7DA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9E7DA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AdAlta Ltd, Bundoora VIC, Australia</w:t>
            </w:r>
          </w:p>
          <w:p w14:paraId="45ED36BF" w14:textId="7640C027" w:rsidR="001564A4" w:rsidRPr="0050053A" w:rsidRDefault="001564A4" w:rsidP="00620EFF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50053A" w14:paraId="6DAF615A" w14:textId="77777777" w:rsidTr="009E7DA2">
        <w:trPr>
          <w:trHeight w:hRule="exact" w:val="8407"/>
          <w:jc w:val="center"/>
        </w:trPr>
        <w:tc>
          <w:tcPr>
            <w:tcW w:w="8640" w:type="dxa"/>
            <w:shd w:val="clear" w:color="auto" w:fill="auto"/>
          </w:tcPr>
          <w:p w14:paraId="3D770CF7" w14:textId="3D11666E" w:rsidR="001564A4" w:rsidRDefault="001564A4" w:rsidP="00620EFF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9E7DA2" w:rsidRPr="009E7DA2">
              <w:rPr>
                <w:rStyle w:val="A4"/>
              </w:rPr>
              <w:t>AD-214 is a proprietary recombinant Fc-fusion protein (</w:t>
            </w:r>
            <w:proofErr w:type="spellStart"/>
            <w:r w:rsidR="009E7DA2" w:rsidRPr="009E7DA2">
              <w:rPr>
                <w:rStyle w:val="A4"/>
              </w:rPr>
              <w:t>i</w:t>
            </w:r>
            <w:proofErr w:type="spellEnd"/>
            <w:r w:rsidR="009E7DA2" w:rsidRPr="009E7DA2">
              <w:rPr>
                <w:rStyle w:val="A4"/>
              </w:rPr>
              <w:t>-body) that selectively binds to the drug target CXCR4, with demonstrated efficacy as an anti-fibrotic in several models of fibrosis. Our study aim was to examine the biodistribution of AD-214 following inhalation in a sheep lung fibrosis model.</w:t>
            </w:r>
          </w:p>
          <w:p w14:paraId="5F93642C" w14:textId="77777777" w:rsidR="009E7DA2" w:rsidRPr="009E7DA2" w:rsidRDefault="009E7DA2" w:rsidP="00620EFF">
            <w:pPr>
              <w:pStyle w:val="Default"/>
              <w:jc w:val="both"/>
            </w:pPr>
          </w:p>
          <w:p w14:paraId="1B39336E" w14:textId="5279F527" w:rsidR="001564A4" w:rsidRPr="0050053A" w:rsidRDefault="001564A4" w:rsidP="00620EFF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9E7DA2" w:rsidRPr="009E7DA2">
              <w:rPr>
                <w:rStyle w:val="A4"/>
              </w:rPr>
              <w:t xml:space="preserve">Lung fibrosis was induced in sheep by airway delivery of bleomycin (BLM) to one region/major lung lobe, with saline delivery to a separate lobe (internal control). Soluble </w:t>
            </w:r>
            <w:proofErr w:type="spellStart"/>
            <w:r w:rsidR="009E7DA2" w:rsidRPr="009E7DA2">
              <w:rPr>
                <w:rStyle w:val="A4"/>
              </w:rPr>
              <w:t>radiolabeled</w:t>
            </w:r>
            <w:proofErr w:type="spellEnd"/>
            <w:r w:rsidR="009E7DA2" w:rsidRPr="009E7DA2">
              <w:rPr>
                <w:rStyle w:val="A4"/>
              </w:rPr>
              <w:t xml:space="preserve"> (</w:t>
            </w:r>
            <w:r w:rsidR="009E7DA2" w:rsidRPr="009E7DA2">
              <w:rPr>
                <w:rStyle w:val="A4"/>
                <w:vertAlign w:val="superscript"/>
              </w:rPr>
              <w:t>89</w:t>
            </w:r>
            <w:r w:rsidR="009E7DA2" w:rsidRPr="009E7DA2">
              <w:rPr>
                <w:rStyle w:val="A4"/>
              </w:rPr>
              <w:t xml:space="preserve">Zr) AD-214 </w:t>
            </w:r>
            <w:proofErr w:type="spellStart"/>
            <w:r w:rsidR="009E7DA2" w:rsidRPr="009E7DA2">
              <w:rPr>
                <w:rStyle w:val="A4"/>
              </w:rPr>
              <w:t>i</w:t>
            </w:r>
            <w:proofErr w:type="spellEnd"/>
            <w:r w:rsidR="009E7DA2" w:rsidRPr="009E7DA2">
              <w:rPr>
                <w:rStyle w:val="A4"/>
              </w:rPr>
              <w:t xml:space="preserve">-body was delivered via nebulization (22.7mg/mL, 2mL). Blood and BAL samples were collected, and PET-MRI and CT imaging was performed under general </w:t>
            </w:r>
            <w:proofErr w:type="spellStart"/>
            <w:r w:rsidR="009E7DA2" w:rsidRPr="009E7DA2">
              <w:rPr>
                <w:rStyle w:val="A4"/>
              </w:rPr>
              <w:t>anesthesia</w:t>
            </w:r>
            <w:proofErr w:type="spellEnd"/>
            <w:r w:rsidR="009E7DA2" w:rsidRPr="009E7DA2">
              <w:rPr>
                <w:rStyle w:val="A4"/>
              </w:rPr>
              <w:t xml:space="preserve"> at several time-points. </w:t>
            </w:r>
            <w:r w:rsidR="009E7DA2" w:rsidRPr="009E7DA2">
              <w:rPr>
                <w:rStyle w:val="A4"/>
                <w:vertAlign w:val="superscript"/>
              </w:rPr>
              <w:t>89</w:t>
            </w:r>
            <w:r w:rsidR="009E7DA2" w:rsidRPr="009E7DA2">
              <w:rPr>
                <w:rStyle w:val="A4"/>
              </w:rPr>
              <w:t xml:space="preserve">Zr radioactivity levels were measured in peripheral blood, </w:t>
            </w:r>
            <w:proofErr w:type="gramStart"/>
            <w:r w:rsidR="009E7DA2" w:rsidRPr="009E7DA2">
              <w:rPr>
                <w:rStyle w:val="A4"/>
              </w:rPr>
              <w:t>BAL</w:t>
            </w:r>
            <w:proofErr w:type="gramEnd"/>
            <w:r w:rsidR="009E7DA2" w:rsidRPr="009E7DA2">
              <w:rPr>
                <w:rStyle w:val="A4"/>
              </w:rPr>
              <w:t xml:space="preserve"> and post-mortem tissue samples.</w:t>
            </w:r>
          </w:p>
          <w:p w14:paraId="6BF3F094" w14:textId="3DB337D5" w:rsidR="001564A4" w:rsidRPr="009E7DA2" w:rsidRDefault="001564A4" w:rsidP="00620EFF">
            <w:pPr>
              <w:pStyle w:val="Pa12"/>
              <w:jc w:val="both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 xml:space="preserve">Results: </w:t>
            </w:r>
            <w:r w:rsidR="009E7DA2" w:rsidRPr="009E7DA2">
              <w:rPr>
                <w:sz w:val="22"/>
                <w:szCs w:val="22"/>
                <w:lang w:val="en-US"/>
              </w:rPr>
              <w:t>CT and MRI imaging confirmed the presence of fibrosis in the BLM-treated lung lobes</w:t>
            </w:r>
            <w:r w:rsidR="009E7DA2" w:rsidRPr="009E7DA2">
              <w:rPr>
                <w:sz w:val="22"/>
                <w:szCs w:val="22"/>
              </w:rPr>
              <w:t xml:space="preserve">. </w:t>
            </w:r>
            <w:r w:rsidR="009E7DA2" w:rsidRPr="009E7DA2">
              <w:rPr>
                <w:sz w:val="22"/>
                <w:szCs w:val="22"/>
                <w:lang w:val="en-US"/>
              </w:rPr>
              <w:t xml:space="preserve">BAL cell numbers were higher in fibrotic vs healthy lungs, but no significant changes were observed following AD-214 inhalation. </w:t>
            </w:r>
            <w:r w:rsidR="009E7DA2" w:rsidRPr="009E7DA2">
              <w:rPr>
                <w:sz w:val="22"/>
                <w:szCs w:val="22"/>
                <w:vertAlign w:val="superscript"/>
                <w:lang w:val="en-US"/>
              </w:rPr>
              <w:t>89</w:t>
            </w:r>
            <w:r w:rsidR="009E7DA2" w:rsidRPr="009E7DA2">
              <w:rPr>
                <w:sz w:val="22"/>
                <w:szCs w:val="22"/>
                <w:lang w:val="en-US"/>
              </w:rPr>
              <w:t>Zr radioactivity counts (</w:t>
            </w:r>
            <w:proofErr w:type="spellStart"/>
            <w:r w:rsidR="009E7DA2" w:rsidRPr="009E7DA2">
              <w:rPr>
                <w:sz w:val="22"/>
                <w:szCs w:val="22"/>
                <w:lang w:val="en-US"/>
              </w:rPr>
              <w:t>kBq</w:t>
            </w:r>
            <w:proofErr w:type="spellEnd"/>
            <w:r w:rsidR="009E7DA2" w:rsidRPr="009E7DA2">
              <w:rPr>
                <w:sz w:val="22"/>
                <w:szCs w:val="22"/>
                <w:lang w:val="en-US"/>
              </w:rPr>
              <w:t xml:space="preserve">/mL) in whole blood and plasma increased over time, reaching maximal levels 24-72 </w:t>
            </w:r>
            <w:proofErr w:type="spellStart"/>
            <w:r w:rsidR="009E7DA2" w:rsidRPr="009E7DA2">
              <w:rPr>
                <w:sz w:val="22"/>
                <w:szCs w:val="22"/>
                <w:lang w:val="en-US"/>
              </w:rPr>
              <w:t>hrs</w:t>
            </w:r>
            <w:proofErr w:type="spellEnd"/>
            <w:r w:rsidR="009E7DA2" w:rsidRPr="009E7DA2">
              <w:rPr>
                <w:sz w:val="22"/>
                <w:szCs w:val="22"/>
                <w:lang w:val="en-US"/>
              </w:rPr>
              <w:t xml:space="preserve"> following AD-214 inhalation. There were high radioactivity counts in BAL cells and cell-free BAL fluid (BALF) at 72 </w:t>
            </w:r>
            <w:proofErr w:type="spellStart"/>
            <w:r w:rsidR="009E7DA2" w:rsidRPr="009E7DA2">
              <w:rPr>
                <w:sz w:val="22"/>
                <w:szCs w:val="22"/>
                <w:lang w:val="en-US"/>
              </w:rPr>
              <w:t>hrs</w:t>
            </w:r>
            <w:proofErr w:type="spellEnd"/>
            <w:r w:rsidR="009E7DA2" w:rsidRPr="009E7DA2">
              <w:rPr>
                <w:sz w:val="22"/>
                <w:szCs w:val="22"/>
                <w:lang w:val="en-US"/>
              </w:rPr>
              <w:t xml:space="preserve">, indicative of significant AD-214 retention in the airways. Furthermore, radioactivity was </w:t>
            </w:r>
            <w:proofErr w:type="gramStart"/>
            <w:r w:rsidR="009E7DA2" w:rsidRPr="009E7DA2">
              <w:rPr>
                <w:sz w:val="22"/>
                <w:szCs w:val="22"/>
                <w:lang w:val="en-US"/>
              </w:rPr>
              <w:t>2-4 fold</w:t>
            </w:r>
            <w:proofErr w:type="gramEnd"/>
            <w:r w:rsidR="009E7DA2" w:rsidRPr="009E7DA2">
              <w:rPr>
                <w:sz w:val="22"/>
                <w:szCs w:val="22"/>
                <w:lang w:val="en-US"/>
              </w:rPr>
              <w:t xml:space="preserve"> higher in BAL cells compared to cell-free BALF suggesting predominant uptake/binding with immune cells. The higher radioactivity levels in BAL cells and BALF collected from the healthy lung lobe </w:t>
            </w:r>
            <w:proofErr w:type="gramStart"/>
            <w:r w:rsidR="009E7DA2" w:rsidRPr="009E7DA2">
              <w:rPr>
                <w:sz w:val="22"/>
                <w:szCs w:val="22"/>
                <w:lang w:val="en-US"/>
              </w:rPr>
              <w:t>is in agreement</w:t>
            </w:r>
            <w:proofErr w:type="gramEnd"/>
            <w:r w:rsidR="009E7DA2" w:rsidRPr="009E7DA2">
              <w:rPr>
                <w:sz w:val="22"/>
                <w:szCs w:val="22"/>
                <w:lang w:val="en-US"/>
              </w:rPr>
              <w:t xml:space="preserve"> with the PET imaging data, suggesting delivery of inhaled AD-214 to the leading edge of fibrosis.</w:t>
            </w:r>
            <w:r w:rsidR="009E7DA2" w:rsidRPr="009E7DA2">
              <w:rPr>
                <w:b/>
                <w:bCs/>
                <w:sz w:val="22"/>
                <w:szCs w:val="22"/>
              </w:rPr>
              <w:t xml:space="preserve"> </w:t>
            </w:r>
            <w:r w:rsidR="009E7DA2" w:rsidRPr="009E7DA2">
              <w:rPr>
                <w:sz w:val="22"/>
                <w:szCs w:val="22"/>
                <w:lang w:val="en-US"/>
              </w:rPr>
              <w:t xml:space="preserve">The percentage inhaled AD-214 dose delivered to the lungs ranged from 62.9-73.4%. This remained high in post-mortem lung tissues collected at 72 </w:t>
            </w:r>
            <w:proofErr w:type="spellStart"/>
            <w:r w:rsidR="009E7DA2" w:rsidRPr="009E7DA2">
              <w:rPr>
                <w:sz w:val="22"/>
                <w:szCs w:val="22"/>
                <w:lang w:val="en-US"/>
              </w:rPr>
              <w:t>hrs</w:t>
            </w:r>
            <w:proofErr w:type="spellEnd"/>
            <w:r w:rsidR="009E7DA2" w:rsidRPr="009E7DA2">
              <w:rPr>
                <w:sz w:val="22"/>
                <w:szCs w:val="22"/>
                <w:lang w:val="en-US"/>
              </w:rPr>
              <w:t>, indicating long retention within the lungs.</w:t>
            </w:r>
          </w:p>
          <w:p w14:paraId="68537800" w14:textId="77777777" w:rsidR="001564A4" w:rsidRPr="0050053A" w:rsidRDefault="001564A4" w:rsidP="00620EFF">
            <w:pPr>
              <w:pStyle w:val="Pa12"/>
              <w:jc w:val="both"/>
              <w:rPr>
                <w:rStyle w:val="A4"/>
                <w:bCs/>
              </w:rPr>
            </w:pPr>
          </w:p>
          <w:p w14:paraId="652F7BE1" w14:textId="5B7EC589" w:rsidR="001564A4" w:rsidRPr="0050053A" w:rsidRDefault="001564A4" w:rsidP="00620EFF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797050" w:rsidRPr="00797050">
              <w:rPr>
                <w:rStyle w:val="A4"/>
              </w:rPr>
              <w:t xml:space="preserve">This study demonstrated effective delivery and significant lung retention of inhaled AD-214 </w:t>
            </w:r>
            <w:proofErr w:type="spellStart"/>
            <w:r w:rsidR="00797050" w:rsidRPr="00797050">
              <w:rPr>
                <w:rStyle w:val="A4"/>
              </w:rPr>
              <w:t>i</w:t>
            </w:r>
            <w:proofErr w:type="spellEnd"/>
            <w:r w:rsidR="00797050" w:rsidRPr="00797050">
              <w:rPr>
                <w:rStyle w:val="A4"/>
              </w:rPr>
              <w:t>-body in sheep, demonstrating feasibility for the treatment of pulmonary fibrosis.</w:t>
            </w:r>
          </w:p>
          <w:p w14:paraId="196E7BAC" w14:textId="1DADCDD0" w:rsidR="001564A4" w:rsidRPr="009E7DA2" w:rsidRDefault="001564A4" w:rsidP="00620EFF">
            <w:pPr>
              <w:pStyle w:val="Pa12"/>
              <w:jc w:val="both"/>
              <w:rPr>
                <w:rStyle w:val="A4"/>
                <w:color w:val="auto"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77777777" w:rsidR="001564A4" w:rsidRPr="0050053A" w:rsidRDefault="001564A4" w:rsidP="00620EFF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2FBD55A4" w:rsidR="001564A4" w:rsidRDefault="001564A4" w:rsidP="00620EFF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620EFF">
            <w:pPr>
              <w:pStyle w:val="Default"/>
              <w:jc w:val="both"/>
            </w:pPr>
          </w:p>
          <w:p w14:paraId="34BF0A0F" w14:textId="77777777" w:rsidR="001564A4" w:rsidRPr="003E35F0" w:rsidRDefault="001564A4" w:rsidP="00620EFF">
            <w:pPr>
              <w:pStyle w:val="Default"/>
              <w:jc w:val="both"/>
            </w:pPr>
          </w:p>
          <w:p w14:paraId="1FF1A88F" w14:textId="77777777" w:rsidR="001564A4" w:rsidRPr="0050053A" w:rsidRDefault="001564A4" w:rsidP="00620EFF">
            <w:pPr>
              <w:pStyle w:val="Pa12"/>
              <w:jc w:val="both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620EFF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620EFF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2E4BB8"/>
    <w:rsid w:val="0051574E"/>
    <w:rsid w:val="00620EFF"/>
    <w:rsid w:val="006E3277"/>
    <w:rsid w:val="00797050"/>
    <w:rsid w:val="008803FA"/>
    <w:rsid w:val="009E7DA2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2455</Characters>
  <Application>Microsoft Office Word</Application>
  <DocSecurity>0</DocSecurity>
  <Lines>117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Habtamu Derseh</cp:lastModifiedBy>
  <cp:revision>5</cp:revision>
  <dcterms:created xsi:type="dcterms:W3CDTF">2023-10-19T03:30:00Z</dcterms:created>
  <dcterms:modified xsi:type="dcterms:W3CDTF">2023-10-19T03:55:00Z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e8d20de08c66c46a032f15fdfdea06bacea8d1014129463673cc977e358f8b3e</vt:lpwstr>
  </property>
</Properties>
</file>