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90FCAEF" w:rsidR="00C8423A" w:rsidRPr="00280AEF" w:rsidRDefault="00D513DF" w:rsidP="00706DED">
            <w:pPr>
              <w:jc w:val="both"/>
              <w:rPr>
                <w:rFonts w:ascii="Arial" w:hAnsi="Arial" w:cs="Arial"/>
                <w:bCs/>
                <w:i/>
                <w:iCs/>
                <w:sz w:val="22"/>
                <w:szCs w:val="22"/>
              </w:rPr>
            </w:pPr>
            <w:r w:rsidRPr="00280AEF">
              <w:rPr>
                <w:rFonts w:ascii="Arial" w:hAnsi="Arial" w:cs="Arial"/>
                <w:bCs/>
                <w:i/>
                <w:iCs/>
                <w:sz w:val="22"/>
                <w:szCs w:val="22"/>
              </w:rPr>
              <w:t>Paper</w:t>
            </w:r>
          </w:p>
          <w:p w14:paraId="3F7D1534" w14:textId="33158569" w:rsidR="00C8423A" w:rsidRPr="00CC53A7" w:rsidRDefault="004A4916" w:rsidP="00D513DF">
            <w:pPr>
              <w:jc w:val="both"/>
              <w:rPr>
                <w:rFonts w:ascii="Arial" w:hAnsi="Arial" w:cs="Arial"/>
                <w:b/>
                <w:bCs/>
                <w:sz w:val="22"/>
                <w:szCs w:val="22"/>
              </w:rPr>
            </w:pPr>
            <w:r w:rsidRPr="00CC53A7">
              <w:rPr>
                <w:rFonts w:ascii="Arial" w:hAnsi="Arial" w:cs="Arial"/>
                <w:b/>
                <w:bCs/>
                <w:sz w:val="22"/>
                <w:szCs w:val="22"/>
                <w:lang w:val="en-CA"/>
              </w:rPr>
              <w:t>Identifying relevant climate impacts and integrating long-term, evidence-based adaptive solutions to enhance climate resilience in plans, policies and programs related to natural resources and energy </w:t>
            </w: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ADFC77D" w14:textId="2A046A47" w:rsidR="004206A4" w:rsidRPr="004206A4" w:rsidRDefault="004206A4" w:rsidP="004206A4">
            <w:pPr>
              <w:jc w:val="both"/>
              <w:rPr>
                <w:rFonts w:ascii="Arial" w:hAnsi="Arial" w:cs="Arial"/>
                <w:bCs/>
                <w:sz w:val="22"/>
                <w:szCs w:val="22"/>
              </w:rPr>
            </w:pPr>
            <w:r w:rsidRPr="004206A4">
              <w:rPr>
                <w:rFonts w:ascii="Arial" w:hAnsi="Arial" w:cs="Arial"/>
                <w:bCs/>
                <w:sz w:val="22"/>
                <w:szCs w:val="22"/>
              </w:rPr>
              <w:t xml:space="preserve">Canada’s changing climate is driving an increase in the frequency and severity of extreme weather events, such as extreme heat, flooding, and wildfires. </w:t>
            </w:r>
            <w:r w:rsidR="00FB0EEC">
              <w:rPr>
                <w:rFonts w:ascii="Arial" w:hAnsi="Arial" w:cs="Arial"/>
                <w:bCs/>
                <w:sz w:val="22"/>
                <w:szCs w:val="22"/>
              </w:rPr>
              <w:t>O</w:t>
            </w:r>
            <w:r w:rsidR="00485841">
              <w:rPr>
                <w:rFonts w:ascii="Arial" w:hAnsi="Arial" w:cs="Arial"/>
                <w:bCs/>
                <w:sz w:val="22"/>
                <w:szCs w:val="22"/>
              </w:rPr>
              <w:t>ur</w:t>
            </w:r>
            <w:r w:rsidRPr="004206A4">
              <w:rPr>
                <w:rFonts w:ascii="Arial" w:hAnsi="Arial" w:cs="Arial"/>
                <w:bCs/>
                <w:sz w:val="22"/>
                <w:szCs w:val="22"/>
              </w:rPr>
              <w:t xml:space="preserve"> department within the Government of Canada oversees natural resources across the country and is a leader in the fields of energy sources and distribution, forestry, mining, and earth sciences. By virtue of</w:t>
            </w:r>
            <w:r w:rsidR="00C77C07">
              <w:rPr>
                <w:rFonts w:ascii="Arial" w:hAnsi="Arial" w:cs="Arial"/>
                <w:bCs/>
                <w:sz w:val="22"/>
                <w:szCs w:val="22"/>
              </w:rPr>
              <w:t xml:space="preserve"> its</w:t>
            </w:r>
            <w:r w:rsidRPr="004206A4">
              <w:rPr>
                <w:rFonts w:ascii="Arial" w:hAnsi="Arial" w:cs="Arial"/>
                <w:bCs/>
                <w:sz w:val="22"/>
                <w:szCs w:val="22"/>
              </w:rPr>
              <w:t xml:space="preserve"> mandate, </w:t>
            </w:r>
            <w:r w:rsidR="00485841">
              <w:rPr>
                <w:rFonts w:ascii="Arial" w:hAnsi="Arial" w:cs="Arial"/>
                <w:bCs/>
                <w:sz w:val="22"/>
                <w:szCs w:val="22"/>
              </w:rPr>
              <w:t>the department</w:t>
            </w:r>
            <w:r w:rsidR="00485841" w:rsidRPr="004206A4">
              <w:rPr>
                <w:rFonts w:ascii="Arial" w:hAnsi="Arial" w:cs="Arial"/>
                <w:bCs/>
                <w:sz w:val="22"/>
                <w:szCs w:val="22"/>
              </w:rPr>
              <w:t xml:space="preserve"> </w:t>
            </w:r>
            <w:r w:rsidRPr="004206A4">
              <w:rPr>
                <w:rFonts w:ascii="Arial" w:hAnsi="Arial" w:cs="Arial"/>
                <w:bCs/>
                <w:sz w:val="22"/>
                <w:szCs w:val="22"/>
              </w:rPr>
              <w:t xml:space="preserve">regularly produces plans, policies and programs (collectively, proposals) related to natural resources and energy.  </w:t>
            </w:r>
          </w:p>
          <w:p w14:paraId="15F4CD38" w14:textId="77777777" w:rsidR="004206A4" w:rsidRPr="004206A4" w:rsidRDefault="004206A4" w:rsidP="004206A4">
            <w:pPr>
              <w:jc w:val="both"/>
              <w:rPr>
                <w:rFonts w:ascii="Arial" w:hAnsi="Arial" w:cs="Arial"/>
                <w:bCs/>
                <w:sz w:val="22"/>
                <w:szCs w:val="22"/>
              </w:rPr>
            </w:pPr>
          </w:p>
          <w:p w14:paraId="07463042" w14:textId="6B71A9C5" w:rsidR="004206A4" w:rsidRPr="004206A4" w:rsidRDefault="004206A4" w:rsidP="004206A4">
            <w:pPr>
              <w:jc w:val="both"/>
              <w:rPr>
                <w:rFonts w:ascii="Arial" w:hAnsi="Arial" w:cs="Arial"/>
                <w:bCs/>
                <w:sz w:val="22"/>
                <w:szCs w:val="22"/>
              </w:rPr>
            </w:pPr>
            <w:r w:rsidRPr="004206A4">
              <w:rPr>
                <w:rFonts w:ascii="Arial" w:hAnsi="Arial" w:cs="Arial"/>
                <w:bCs/>
                <w:sz w:val="22"/>
                <w:szCs w:val="22"/>
              </w:rPr>
              <w:t xml:space="preserve">Previously, the environmental impacts of proposals were assessed through a flexible assessment called Strategic Environmental Assessment. It had limited guidance on assessing impacts, and often awareness of adaptation and resiliency, both in the proposal development and decision-making phases, was low. In April 2024, a new Cabinet Directive on Strategic Environmental and Economic Assessment (SEEA) was implemented that included a structured template. Proposals now consider a wide range of environmental effects, including the proposal’s vulnerability to climate hazards and potential adaptation solutions, as well as the proposal’s impacts to Canada’s resiliency.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A0EAEE9" w14:textId="696233F8" w:rsidR="004206A4" w:rsidRPr="004206A4" w:rsidRDefault="004206A4" w:rsidP="00706DED">
            <w:pPr>
              <w:jc w:val="both"/>
              <w:rPr>
                <w:rFonts w:ascii="Arial" w:hAnsi="Arial" w:cs="Arial"/>
                <w:bCs/>
                <w:sz w:val="22"/>
                <w:szCs w:val="22"/>
              </w:rPr>
            </w:pPr>
            <w:r w:rsidRPr="004206A4">
              <w:rPr>
                <w:rFonts w:ascii="Arial" w:hAnsi="Arial" w:cs="Arial"/>
                <w:bCs/>
                <w:sz w:val="22"/>
                <w:szCs w:val="22"/>
              </w:rPr>
              <w:t xml:space="preserve">Our objective is to describe how departmental proposals related to energy and natural resources identify relevant climate impacts and integrate long-term and evidence-based adaptive solutions to enhance climate resilience and accelerate adaptation action since the implementation of the SEEA.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5DEE9DB" w14:textId="0499E5CA" w:rsidR="004206A4" w:rsidRPr="004206A4" w:rsidRDefault="004206A4" w:rsidP="00706DED">
            <w:pPr>
              <w:jc w:val="both"/>
              <w:rPr>
                <w:rFonts w:ascii="Arial" w:hAnsi="Arial" w:cs="Arial"/>
                <w:bCs/>
                <w:sz w:val="22"/>
                <w:szCs w:val="22"/>
              </w:rPr>
            </w:pPr>
            <w:r w:rsidRPr="004206A4">
              <w:rPr>
                <w:rFonts w:ascii="Arial" w:hAnsi="Arial" w:cs="Arial"/>
                <w:bCs/>
                <w:sz w:val="22"/>
                <w:szCs w:val="22"/>
              </w:rPr>
              <w:t>Adaptation is now a distinct and required part of the assessment, with guidance available to support this analysis. To illustrate the adaptation considerations of the SEEA, we will present two case studies that demonstrate how the analysis encourages proposals to consider adaptation through its structure, and how that information communicates relevant implications to decision makers. These case studies will describe the process of completing the analysis and the implications that doing so has had on the proposal, and in turn on the relevant policies of the Government of Canada.</w:t>
            </w:r>
          </w:p>
          <w:p w14:paraId="015EFC6C" w14:textId="77777777" w:rsidR="0065012F" w:rsidRDefault="0065012F" w:rsidP="00706DED">
            <w:pPr>
              <w:jc w:val="both"/>
              <w:rPr>
                <w:rFonts w:ascii="Arial" w:hAnsi="Arial" w:cs="Arial"/>
                <w:b/>
                <w:sz w:val="22"/>
                <w:szCs w:val="22"/>
              </w:rPr>
            </w:pPr>
          </w:p>
          <w:p w14:paraId="261EC656" w14:textId="2251C73F" w:rsidR="00C8423A"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4206A4">
              <w:rPr>
                <w:rFonts w:ascii="Arial" w:hAnsi="Arial" w:cs="Arial"/>
                <w:b/>
                <w:sz w:val="22"/>
                <w:szCs w:val="22"/>
              </w:rPr>
              <w:t xml:space="preserve"> &amp; </w:t>
            </w:r>
            <w:r>
              <w:rPr>
                <w:rFonts w:ascii="Arial" w:hAnsi="Arial" w:cs="Arial"/>
                <w:b/>
                <w:sz w:val="22"/>
                <w:szCs w:val="22"/>
              </w:rPr>
              <w:t>S</w:t>
            </w:r>
            <w:r w:rsidRPr="0065012F">
              <w:rPr>
                <w:rFonts w:ascii="Arial" w:hAnsi="Arial" w:cs="Arial"/>
                <w:b/>
                <w:sz w:val="22"/>
                <w:szCs w:val="22"/>
              </w:rPr>
              <w:t xml:space="preserve">ignificance of the work for policy and practice </w:t>
            </w:r>
          </w:p>
          <w:p w14:paraId="09DBD526" w14:textId="77777777" w:rsidR="004206A4" w:rsidRDefault="004206A4" w:rsidP="004206A4">
            <w:pPr>
              <w:jc w:val="both"/>
              <w:rPr>
                <w:rFonts w:ascii="Arial" w:hAnsi="Arial" w:cs="Arial"/>
                <w:bCs/>
                <w:sz w:val="22"/>
                <w:szCs w:val="22"/>
                <w:lang w:val="en-CA"/>
              </w:rPr>
            </w:pPr>
            <w:r w:rsidRPr="004206A4">
              <w:rPr>
                <w:rFonts w:ascii="Arial" w:hAnsi="Arial" w:cs="Arial"/>
                <w:bCs/>
                <w:sz w:val="22"/>
                <w:szCs w:val="22"/>
                <w:lang w:val="en-CA"/>
              </w:rPr>
              <w:t>The inclusion of adaptation in the analysis into proposals has markedly increased the quality of departmental discussions on adaptation practices. Previously, adaptation was given limited acknowledgement with minimal consideration of how proposals would be impacted by climate change or improve climate resiliency. The new SEEA places climate adaptation on an equal footing to climate mitigation, which will help reduce future costs of climate change. In addition, the consistency in examining adaptation impacts across proposals has improved, providing a more complete picture of the relevant effects.  </w:t>
            </w:r>
          </w:p>
          <w:p w14:paraId="09B266AA" w14:textId="77777777" w:rsidR="004206A4" w:rsidRPr="004206A4" w:rsidRDefault="004206A4" w:rsidP="004206A4">
            <w:pPr>
              <w:jc w:val="both"/>
              <w:rPr>
                <w:rFonts w:ascii="Arial" w:hAnsi="Arial" w:cs="Arial"/>
                <w:bCs/>
                <w:sz w:val="22"/>
                <w:szCs w:val="22"/>
                <w:lang w:val="en-CA"/>
              </w:rPr>
            </w:pPr>
          </w:p>
          <w:p w14:paraId="518CBDBD" w14:textId="77777777" w:rsidR="004206A4" w:rsidRPr="004206A4" w:rsidRDefault="004206A4" w:rsidP="004206A4">
            <w:pPr>
              <w:jc w:val="both"/>
              <w:rPr>
                <w:rFonts w:ascii="Arial" w:hAnsi="Arial" w:cs="Arial"/>
                <w:bCs/>
                <w:sz w:val="22"/>
                <w:szCs w:val="22"/>
                <w:lang w:val="en-CA"/>
              </w:rPr>
            </w:pPr>
            <w:r w:rsidRPr="004206A4">
              <w:rPr>
                <w:rFonts w:ascii="Arial" w:hAnsi="Arial" w:cs="Arial"/>
                <w:bCs/>
                <w:sz w:val="22"/>
                <w:szCs w:val="22"/>
                <w:lang w:val="en-CA"/>
              </w:rPr>
              <w:t xml:space="preserve">The increase in quality and consistency of adaptation considerations has made it easier to understand the similarities and differences between adaptation implications of various </w:t>
            </w:r>
            <w:r w:rsidRPr="004206A4">
              <w:rPr>
                <w:rFonts w:ascii="Arial" w:hAnsi="Arial" w:cs="Arial"/>
                <w:bCs/>
                <w:sz w:val="22"/>
                <w:szCs w:val="22"/>
                <w:lang w:val="en-CA"/>
              </w:rPr>
              <w:lastRenderedPageBreak/>
              <w:t>proposals, supporting decision making that accounts for climate adaptation. The requirement to consider adaptation also improves the baseline adaptation awareness within the department. </w:t>
            </w:r>
          </w:p>
          <w:p w14:paraId="6173D492" w14:textId="77777777" w:rsidR="00C77C07" w:rsidRDefault="00C77C07" w:rsidP="004206A4">
            <w:pPr>
              <w:jc w:val="both"/>
              <w:rPr>
                <w:rFonts w:ascii="Arial" w:hAnsi="Arial" w:cs="Arial"/>
                <w:bCs/>
                <w:sz w:val="22"/>
                <w:szCs w:val="22"/>
                <w:lang w:val="en-CA"/>
              </w:rPr>
            </w:pPr>
          </w:p>
          <w:p w14:paraId="2CBAECD6" w14:textId="171662F9" w:rsidR="009F4EA0" w:rsidRPr="00836CD2" w:rsidRDefault="00C77C07" w:rsidP="00706DED">
            <w:pPr>
              <w:jc w:val="both"/>
              <w:rPr>
                <w:rFonts w:ascii="Arial" w:hAnsi="Arial" w:cs="Arial"/>
                <w:bCs/>
                <w:sz w:val="22"/>
                <w:szCs w:val="22"/>
                <w:lang w:val="en-CA"/>
              </w:rPr>
            </w:pPr>
            <w:r>
              <w:rPr>
                <w:rFonts w:ascii="Arial" w:hAnsi="Arial" w:cs="Arial"/>
                <w:bCs/>
                <w:sz w:val="22"/>
                <w:szCs w:val="22"/>
                <w:lang w:val="en-CA"/>
              </w:rPr>
              <w:t xml:space="preserve">Departmental </w:t>
            </w:r>
            <w:r w:rsidR="004206A4" w:rsidRPr="004206A4">
              <w:rPr>
                <w:rFonts w:ascii="Arial" w:hAnsi="Arial" w:cs="Arial"/>
                <w:bCs/>
                <w:sz w:val="22"/>
                <w:szCs w:val="22"/>
                <w:lang w:val="en-CA"/>
              </w:rPr>
              <w:t>programs strive towards the sustainable development of natural resources now and in the future, and the use of the SEEA to assess climate adaptation and resilience is another way to contribute to that goal. </w:t>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3039" w14:textId="77777777" w:rsidR="00A777F3" w:rsidRDefault="00A777F3" w:rsidP="004206A4">
      <w:r>
        <w:separator/>
      </w:r>
    </w:p>
  </w:endnote>
  <w:endnote w:type="continuationSeparator" w:id="0">
    <w:p w14:paraId="13392379" w14:textId="77777777" w:rsidR="00A777F3" w:rsidRDefault="00A777F3" w:rsidP="0042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7A10" w14:textId="77777777" w:rsidR="00A777F3" w:rsidRDefault="00A777F3" w:rsidP="004206A4">
      <w:r>
        <w:separator/>
      </w:r>
    </w:p>
  </w:footnote>
  <w:footnote w:type="continuationSeparator" w:id="0">
    <w:p w14:paraId="28EFB74E" w14:textId="77777777" w:rsidR="00A777F3" w:rsidRDefault="00A777F3" w:rsidP="0042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F15" w14:textId="5217AB28" w:rsidR="004206A4" w:rsidRDefault="004206A4">
    <w:pPr>
      <w:pStyle w:val="Header"/>
    </w:pPr>
    <w:r>
      <w:rPr>
        <w:noProof/>
      </w:rPr>
      <mc:AlternateContent>
        <mc:Choice Requires="wps">
          <w:drawing>
            <wp:anchor distT="0" distB="0" distL="0" distR="0" simplePos="0" relativeHeight="251659264" behindDoc="0" locked="0" layoutInCell="1" allowOverlap="1" wp14:anchorId="710E11E4" wp14:editId="5822D5C2">
              <wp:simplePos x="635" y="635"/>
              <wp:positionH relativeFrom="page">
                <wp:align>right</wp:align>
              </wp:positionH>
              <wp:positionV relativeFrom="page">
                <wp:align>top</wp:align>
              </wp:positionV>
              <wp:extent cx="2181225" cy="376555"/>
              <wp:effectExtent l="0" t="0" r="0" b="4445"/>
              <wp:wrapNone/>
              <wp:docPr id="22057986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5B89303C" w14:textId="390C4CE2" w:rsidR="004206A4" w:rsidRPr="004206A4" w:rsidRDefault="004206A4" w:rsidP="004206A4">
                          <w:pPr>
                            <w:rPr>
                              <w:rFonts w:ascii="Calibri" w:eastAsia="Calibri" w:hAnsi="Calibri" w:cs="Calibri"/>
                              <w:noProof/>
                              <w:color w:val="000000"/>
                            </w:rPr>
                          </w:pPr>
                          <w:r w:rsidRPr="004206A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0E11E4" id="_x0000_t202" coordsize="21600,21600" o:spt="202" path="m,l,21600r21600,l21600,xe">
              <v:stroke joinstyle="miter"/>
              <v:path gradientshapeok="t" o:connecttype="rect"/>
            </v:shapetype>
            <v:shape id="Text Box 2" o:spid="_x0000_s1026" type="#_x0000_t202" alt="UNCLASSIFIED - NON CLASSIFIÉ" style="position:absolute;margin-left:120.55pt;margin-top:0;width:171.7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" filled="f" stroked="f">
              <v:textbox style="mso-fit-shape-to-text:t" inset="0,15pt,20pt,0">
                <w:txbxContent>
                  <w:p w14:paraId="5B89303C" w14:textId="390C4CE2" w:rsidR="004206A4" w:rsidRPr="004206A4" w:rsidRDefault="004206A4" w:rsidP="004206A4">
                    <w:pPr>
                      <w:rPr>
                        <w:rFonts w:ascii="Calibri" w:eastAsia="Calibri" w:hAnsi="Calibri" w:cs="Calibri"/>
                        <w:noProof/>
                        <w:color w:val="000000"/>
                      </w:rPr>
                    </w:pPr>
                    <w:r w:rsidRPr="004206A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0E58" w14:textId="4329DB68" w:rsidR="004206A4" w:rsidRDefault="004206A4">
    <w:pPr>
      <w:pStyle w:val="Header"/>
    </w:pPr>
    <w:r>
      <w:rPr>
        <w:noProof/>
      </w:rPr>
      <mc:AlternateContent>
        <mc:Choice Requires="wps">
          <w:drawing>
            <wp:anchor distT="0" distB="0" distL="0" distR="0" simplePos="0" relativeHeight="251658240" behindDoc="0" locked="0" layoutInCell="1" allowOverlap="1" wp14:anchorId="37D30092" wp14:editId="24E3F41F">
              <wp:simplePos x="635" y="635"/>
              <wp:positionH relativeFrom="page">
                <wp:align>right</wp:align>
              </wp:positionH>
              <wp:positionV relativeFrom="page">
                <wp:align>top</wp:align>
              </wp:positionV>
              <wp:extent cx="2181225" cy="376555"/>
              <wp:effectExtent l="0" t="0" r="0" b="4445"/>
              <wp:wrapNone/>
              <wp:docPr id="202942027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76555"/>
                      </a:xfrm>
                      <a:prstGeom prst="rect">
                        <a:avLst/>
                      </a:prstGeom>
                      <a:noFill/>
                      <a:ln>
                        <a:noFill/>
                      </a:ln>
                    </wps:spPr>
                    <wps:txbx>
                      <w:txbxContent>
                        <w:p w14:paraId="6B0591FA" w14:textId="4FBE071A" w:rsidR="004206A4" w:rsidRPr="004206A4" w:rsidRDefault="004206A4" w:rsidP="004206A4">
                          <w:pPr>
                            <w:rPr>
                              <w:rFonts w:ascii="Calibri" w:eastAsia="Calibri" w:hAnsi="Calibri" w:cs="Calibri"/>
                              <w:noProof/>
                              <w:color w:val="000000"/>
                            </w:rPr>
                          </w:pPr>
                          <w:r w:rsidRPr="004206A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D30092" id="_x0000_t202" coordsize="21600,21600" o:spt="202" path="m,l,21600r21600,l21600,xe">
              <v:stroke joinstyle="miter"/>
              <v:path gradientshapeok="t" o:connecttype="rect"/>
            </v:shapetype>
            <v:shape id="Text Box 1" o:spid="_x0000_s1027" type="#_x0000_t202" alt="UNCLASSIFIED - NON CLASSIFIÉ" style="position:absolute;margin-left:120.55pt;margin-top:0;width:171.7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" filled="f" stroked="f">
              <v:textbox style="mso-fit-shape-to-text:t" inset="0,15pt,20pt,0">
                <w:txbxContent>
                  <w:p w14:paraId="6B0591FA" w14:textId="4FBE071A" w:rsidR="004206A4" w:rsidRPr="004206A4" w:rsidRDefault="004206A4" w:rsidP="004206A4">
                    <w:pPr>
                      <w:rPr>
                        <w:rFonts w:ascii="Calibri" w:eastAsia="Calibri" w:hAnsi="Calibri" w:cs="Calibri"/>
                        <w:noProof/>
                        <w:color w:val="000000"/>
                      </w:rPr>
                    </w:pPr>
                    <w:r w:rsidRPr="004206A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14C8"/>
    <w:rsid w:val="000454E9"/>
    <w:rsid w:val="00105E39"/>
    <w:rsid w:val="00132AE5"/>
    <w:rsid w:val="00155315"/>
    <w:rsid w:val="00247C60"/>
    <w:rsid w:val="00256963"/>
    <w:rsid w:val="00280AEF"/>
    <w:rsid w:val="002E3AA3"/>
    <w:rsid w:val="00317356"/>
    <w:rsid w:val="0034503D"/>
    <w:rsid w:val="00354C31"/>
    <w:rsid w:val="00375B20"/>
    <w:rsid w:val="00386D01"/>
    <w:rsid w:val="004049E7"/>
    <w:rsid w:val="004206A4"/>
    <w:rsid w:val="00462B90"/>
    <w:rsid w:val="004828A0"/>
    <w:rsid w:val="00485841"/>
    <w:rsid w:val="004A4916"/>
    <w:rsid w:val="004B69C7"/>
    <w:rsid w:val="004D193B"/>
    <w:rsid w:val="004F4CE8"/>
    <w:rsid w:val="004F5C81"/>
    <w:rsid w:val="0053222C"/>
    <w:rsid w:val="005469BD"/>
    <w:rsid w:val="00550B17"/>
    <w:rsid w:val="005854B8"/>
    <w:rsid w:val="0062573C"/>
    <w:rsid w:val="0065012F"/>
    <w:rsid w:val="00661BC0"/>
    <w:rsid w:val="0068043B"/>
    <w:rsid w:val="00681CA7"/>
    <w:rsid w:val="006B0225"/>
    <w:rsid w:val="008235E8"/>
    <w:rsid w:val="00836CD2"/>
    <w:rsid w:val="008773DF"/>
    <w:rsid w:val="008B01BA"/>
    <w:rsid w:val="008B50A0"/>
    <w:rsid w:val="008C0C35"/>
    <w:rsid w:val="008C22AD"/>
    <w:rsid w:val="008C2633"/>
    <w:rsid w:val="008E3D8D"/>
    <w:rsid w:val="008F2F93"/>
    <w:rsid w:val="009010B0"/>
    <w:rsid w:val="00906B39"/>
    <w:rsid w:val="00963443"/>
    <w:rsid w:val="009C374A"/>
    <w:rsid w:val="009D0043"/>
    <w:rsid w:val="009F4EA0"/>
    <w:rsid w:val="00A076C8"/>
    <w:rsid w:val="00A777F3"/>
    <w:rsid w:val="00AB6E14"/>
    <w:rsid w:val="00B026E8"/>
    <w:rsid w:val="00BA0872"/>
    <w:rsid w:val="00BA26BB"/>
    <w:rsid w:val="00BC6810"/>
    <w:rsid w:val="00BE0B4D"/>
    <w:rsid w:val="00BE58D6"/>
    <w:rsid w:val="00C26081"/>
    <w:rsid w:val="00C4126D"/>
    <w:rsid w:val="00C76C99"/>
    <w:rsid w:val="00C77C07"/>
    <w:rsid w:val="00C8423A"/>
    <w:rsid w:val="00CC53A7"/>
    <w:rsid w:val="00CE53FE"/>
    <w:rsid w:val="00D513DF"/>
    <w:rsid w:val="00D716AD"/>
    <w:rsid w:val="00DB7929"/>
    <w:rsid w:val="00DD1BB3"/>
    <w:rsid w:val="00E612FF"/>
    <w:rsid w:val="00EB1B31"/>
    <w:rsid w:val="00F818D6"/>
    <w:rsid w:val="00FA372B"/>
    <w:rsid w:val="00FB0EEC"/>
    <w:rsid w:val="00FF3ED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4206A4"/>
    <w:pPr>
      <w:tabs>
        <w:tab w:val="center" w:pos="4680"/>
        <w:tab w:val="right" w:pos="9360"/>
      </w:tabs>
    </w:pPr>
  </w:style>
  <w:style w:type="character" w:customStyle="1" w:styleId="HeaderChar">
    <w:name w:val="Header Char"/>
    <w:basedOn w:val="DefaultParagraphFont"/>
    <w:link w:val="Header"/>
    <w:uiPriority w:val="99"/>
    <w:rsid w:val="004206A4"/>
  </w:style>
  <w:style w:type="paragraph" w:styleId="Footer">
    <w:name w:val="footer"/>
    <w:basedOn w:val="Normal"/>
    <w:link w:val="FooterChar"/>
    <w:uiPriority w:val="99"/>
    <w:unhideWhenUsed/>
    <w:rsid w:val="00836CD2"/>
    <w:pPr>
      <w:tabs>
        <w:tab w:val="center" w:pos="4513"/>
        <w:tab w:val="right" w:pos="9026"/>
      </w:tabs>
    </w:pPr>
  </w:style>
  <w:style w:type="character" w:customStyle="1" w:styleId="FooterChar">
    <w:name w:val="Footer Char"/>
    <w:basedOn w:val="DefaultParagraphFont"/>
    <w:link w:val="Footer"/>
    <w:uiPriority w:val="99"/>
    <w:rsid w:val="00836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4815725">
      <w:bodyDiv w:val="1"/>
      <w:marLeft w:val="0"/>
      <w:marRight w:val="0"/>
      <w:marTop w:val="0"/>
      <w:marBottom w:val="0"/>
      <w:divBdr>
        <w:top w:val="none" w:sz="0" w:space="0" w:color="auto"/>
        <w:left w:val="none" w:sz="0" w:space="0" w:color="auto"/>
        <w:bottom w:val="none" w:sz="0" w:space="0" w:color="auto"/>
        <w:right w:val="none" w:sz="0" w:space="0" w:color="auto"/>
      </w:divBdr>
      <w:divsChild>
        <w:div w:id="1339967080">
          <w:marLeft w:val="0"/>
          <w:marRight w:val="0"/>
          <w:marTop w:val="0"/>
          <w:marBottom w:val="0"/>
          <w:divBdr>
            <w:top w:val="none" w:sz="0" w:space="0" w:color="auto"/>
            <w:left w:val="none" w:sz="0" w:space="0" w:color="auto"/>
            <w:bottom w:val="none" w:sz="0" w:space="0" w:color="auto"/>
            <w:right w:val="none" w:sz="0" w:space="0" w:color="auto"/>
          </w:divBdr>
        </w:div>
        <w:div w:id="717439991">
          <w:marLeft w:val="0"/>
          <w:marRight w:val="0"/>
          <w:marTop w:val="0"/>
          <w:marBottom w:val="0"/>
          <w:divBdr>
            <w:top w:val="none" w:sz="0" w:space="0" w:color="auto"/>
            <w:left w:val="none" w:sz="0" w:space="0" w:color="auto"/>
            <w:bottom w:val="none" w:sz="0" w:space="0" w:color="auto"/>
            <w:right w:val="none" w:sz="0" w:space="0" w:color="auto"/>
          </w:divBdr>
        </w:div>
        <w:div w:id="1718773566">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49419063">
      <w:bodyDiv w:val="1"/>
      <w:marLeft w:val="0"/>
      <w:marRight w:val="0"/>
      <w:marTop w:val="0"/>
      <w:marBottom w:val="0"/>
      <w:divBdr>
        <w:top w:val="none" w:sz="0" w:space="0" w:color="auto"/>
        <w:left w:val="none" w:sz="0" w:space="0" w:color="auto"/>
        <w:bottom w:val="none" w:sz="0" w:space="0" w:color="auto"/>
        <w:right w:val="none" w:sz="0" w:space="0" w:color="auto"/>
      </w:divBdr>
      <w:divsChild>
        <w:div w:id="1022165878">
          <w:marLeft w:val="0"/>
          <w:marRight w:val="0"/>
          <w:marTop w:val="0"/>
          <w:marBottom w:val="0"/>
          <w:divBdr>
            <w:top w:val="none" w:sz="0" w:space="0" w:color="auto"/>
            <w:left w:val="none" w:sz="0" w:space="0" w:color="auto"/>
            <w:bottom w:val="none" w:sz="0" w:space="0" w:color="auto"/>
            <w:right w:val="none" w:sz="0" w:space="0" w:color="auto"/>
          </w:divBdr>
        </w:div>
        <w:div w:id="1282761614">
          <w:marLeft w:val="0"/>
          <w:marRight w:val="0"/>
          <w:marTop w:val="0"/>
          <w:marBottom w:val="0"/>
          <w:divBdr>
            <w:top w:val="none" w:sz="0" w:space="0" w:color="auto"/>
            <w:left w:val="none" w:sz="0" w:space="0" w:color="auto"/>
            <w:bottom w:val="none" w:sz="0" w:space="0" w:color="auto"/>
            <w:right w:val="none" w:sz="0" w:space="0" w:color="auto"/>
          </w:divBdr>
        </w:div>
      </w:divsChild>
    </w:div>
    <w:div w:id="1995059573">
      <w:bodyDiv w:val="1"/>
      <w:marLeft w:val="0"/>
      <w:marRight w:val="0"/>
      <w:marTop w:val="0"/>
      <w:marBottom w:val="0"/>
      <w:divBdr>
        <w:top w:val="none" w:sz="0" w:space="0" w:color="auto"/>
        <w:left w:val="none" w:sz="0" w:space="0" w:color="auto"/>
        <w:bottom w:val="none" w:sz="0" w:space="0" w:color="auto"/>
        <w:right w:val="none" w:sz="0" w:space="0" w:color="auto"/>
      </w:divBdr>
      <w:divsChild>
        <w:div w:id="1406954091">
          <w:marLeft w:val="0"/>
          <w:marRight w:val="0"/>
          <w:marTop w:val="0"/>
          <w:marBottom w:val="0"/>
          <w:divBdr>
            <w:top w:val="none" w:sz="0" w:space="0" w:color="auto"/>
            <w:left w:val="none" w:sz="0" w:space="0" w:color="auto"/>
            <w:bottom w:val="none" w:sz="0" w:space="0" w:color="auto"/>
            <w:right w:val="none" w:sz="0" w:space="0" w:color="auto"/>
          </w:divBdr>
        </w:div>
        <w:div w:id="946083143">
          <w:marLeft w:val="0"/>
          <w:marRight w:val="0"/>
          <w:marTop w:val="0"/>
          <w:marBottom w:val="0"/>
          <w:divBdr>
            <w:top w:val="none" w:sz="0" w:space="0" w:color="auto"/>
            <w:left w:val="none" w:sz="0" w:space="0" w:color="auto"/>
            <w:bottom w:val="none" w:sz="0" w:space="0" w:color="auto"/>
            <w:right w:val="none" w:sz="0" w:space="0" w:color="auto"/>
          </w:divBdr>
        </w:div>
        <w:div w:id="1625237416">
          <w:marLeft w:val="0"/>
          <w:marRight w:val="0"/>
          <w:marTop w:val="0"/>
          <w:marBottom w:val="0"/>
          <w:divBdr>
            <w:top w:val="none" w:sz="0" w:space="0" w:color="auto"/>
            <w:left w:val="none" w:sz="0" w:space="0" w:color="auto"/>
            <w:bottom w:val="none" w:sz="0" w:space="0" w:color="auto"/>
            <w:right w:val="none" w:sz="0" w:space="0" w:color="auto"/>
          </w:divBdr>
        </w:div>
      </w:divsChild>
    </w:div>
    <w:div w:id="2134707205">
      <w:bodyDiv w:val="1"/>
      <w:marLeft w:val="0"/>
      <w:marRight w:val="0"/>
      <w:marTop w:val="0"/>
      <w:marBottom w:val="0"/>
      <w:divBdr>
        <w:top w:val="none" w:sz="0" w:space="0" w:color="auto"/>
        <w:left w:val="none" w:sz="0" w:space="0" w:color="auto"/>
        <w:bottom w:val="none" w:sz="0" w:space="0" w:color="auto"/>
        <w:right w:val="none" w:sz="0" w:space="0" w:color="auto"/>
      </w:divBdr>
      <w:divsChild>
        <w:div w:id="126971992">
          <w:marLeft w:val="0"/>
          <w:marRight w:val="0"/>
          <w:marTop w:val="0"/>
          <w:marBottom w:val="0"/>
          <w:divBdr>
            <w:top w:val="none" w:sz="0" w:space="0" w:color="auto"/>
            <w:left w:val="none" w:sz="0" w:space="0" w:color="auto"/>
            <w:bottom w:val="none" w:sz="0" w:space="0" w:color="auto"/>
            <w:right w:val="none" w:sz="0" w:space="0" w:color="auto"/>
          </w:divBdr>
        </w:div>
        <w:div w:id="47148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cab52c9b-ab33-4221-8af9-54f8f2b86a80"/>
    <ds:schemaRef ds:uri="http://schemas.microsoft.com/office/infopath/2007/PartnerControl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243D0375-E75A-48A6-8F24-FCBBD752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120</TotalTime>
  <Pages>2</Pages>
  <Words>532</Words>
  <Characters>3033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2025-02-27T15:02:00Z</dcterms:created>
  <dcterms:modified xsi:type="dcterms:W3CDTF">2025-08-08T05:01:00Z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78f67ef7,d25c819,4edbb52a</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ies>
</file>