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0"/>
      </w:tblGrid>
      <w:tr w:rsidR="006D4713" w:rsidRPr="0050053A" w14:paraId="6C68AC80" w14:textId="77777777" w:rsidTr="003072CA">
        <w:trPr>
          <w:trHeight w:val="698"/>
          <w:jc w:val="center"/>
        </w:trPr>
        <w:tc>
          <w:tcPr>
            <w:tcW w:w="8830" w:type="dxa"/>
            <w:shd w:val="clear" w:color="auto" w:fill="auto"/>
          </w:tcPr>
          <w:p w14:paraId="6C68AC7F" w14:textId="71F88C68" w:rsidR="006D4713" w:rsidRPr="00633EC7" w:rsidRDefault="0052408D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633EC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Greater ventilatory </w:t>
            </w:r>
            <w:r w:rsidR="003072CA" w:rsidRPr="00633EC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irregularity</w:t>
            </w:r>
            <w:r w:rsidRPr="00633EC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during steady-state exercise in adolescent</w:t>
            </w:r>
            <w:r w:rsidR="00E706A7" w:rsidRPr="00633EC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 w:rsidRPr="00633EC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E706A7" w:rsidRPr="00633EC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versus</w:t>
            </w:r>
            <w:r w:rsidRPr="00633EC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adults.</w:t>
            </w:r>
          </w:p>
        </w:tc>
      </w:tr>
      <w:tr w:rsidR="006D4713" w:rsidRPr="0050053A" w14:paraId="6C68AC82" w14:textId="77777777" w:rsidTr="003072CA">
        <w:trPr>
          <w:trHeight w:val="698"/>
          <w:jc w:val="center"/>
        </w:trPr>
        <w:tc>
          <w:tcPr>
            <w:tcW w:w="8830" w:type="dxa"/>
            <w:shd w:val="clear" w:color="auto" w:fill="auto"/>
          </w:tcPr>
          <w:p w14:paraId="6C68AC81" w14:textId="41B7AE13" w:rsidR="006D4713" w:rsidRPr="00633EC7" w:rsidRDefault="00930F6C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 w:rsidRPr="00633E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Ryan Welch </w:t>
            </w:r>
            <w:r w:rsidRPr="00633E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bookmarkStart w:id="0" w:name="Text8"/>
            <w:r w:rsidRPr="00633E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 w:rsidR="00A34AFA" w:rsidRPr="00633E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Sarah Casey </w:t>
            </w:r>
            <w:r w:rsidR="00A34AFA" w:rsidRPr="00633E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633E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John Kolb</w:t>
            </w:r>
            <w:r w:rsidR="00A34AFA" w:rsidRPr="00633E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e </w:t>
            </w:r>
            <w:r w:rsidR="00A34AFA" w:rsidRPr="00633E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633E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Pr="00633E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6A7" w:rsidRPr="00633EC7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633E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Kevin Ellyett </w:t>
            </w:r>
            <w:r w:rsidRPr="00633E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6D4713" w:rsidRPr="0050053A" w14:paraId="6C68AC88" w14:textId="77777777" w:rsidTr="003072CA">
        <w:trPr>
          <w:trHeight w:val="186"/>
          <w:jc w:val="center"/>
        </w:trPr>
        <w:tc>
          <w:tcPr>
            <w:tcW w:w="8830" w:type="dxa"/>
            <w:shd w:val="clear" w:color="auto" w:fill="auto"/>
          </w:tcPr>
          <w:p w14:paraId="60B60147" w14:textId="1B479DC8" w:rsidR="006D4713" w:rsidRPr="00633EC7" w:rsidRDefault="00A34AFA" w:rsidP="00930F6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33E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30F6C" w:rsidRPr="00633EC7">
              <w:rPr>
                <w:rFonts w:ascii="Arial" w:hAnsi="Arial" w:cs="Arial"/>
                <w:i/>
                <w:sz w:val="22"/>
                <w:szCs w:val="22"/>
              </w:rPr>
              <w:t xml:space="preserve">Te </w:t>
            </w:r>
            <w:proofErr w:type="spellStart"/>
            <w:r w:rsidR="00930F6C" w:rsidRPr="00633EC7">
              <w:rPr>
                <w:rFonts w:ascii="Arial" w:hAnsi="Arial" w:cs="Arial"/>
                <w:i/>
                <w:sz w:val="22"/>
                <w:szCs w:val="22"/>
              </w:rPr>
              <w:t>Whatu</w:t>
            </w:r>
            <w:proofErr w:type="spellEnd"/>
            <w:r w:rsidR="00930F6C" w:rsidRPr="00633EC7">
              <w:rPr>
                <w:rFonts w:ascii="Arial" w:hAnsi="Arial" w:cs="Arial"/>
                <w:i/>
                <w:sz w:val="22"/>
                <w:szCs w:val="22"/>
              </w:rPr>
              <w:t xml:space="preserve"> Ora Te Toka Tumai Auckland, Respiratory Services, Auckland</w:t>
            </w:r>
          </w:p>
          <w:p w14:paraId="6986ABD1" w14:textId="518E44E5" w:rsidR="00A34AFA" w:rsidRPr="00633EC7" w:rsidRDefault="00A34AFA" w:rsidP="00930F6C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33E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633EC7">
              <w:rPr>
                <w:rFonts w:ascii="Arial" w:hAnsi="Arial" w:cs="Arial"/>
                <w:i/>
                <w:sz w:val="22"/>
                <w:szCs w:val="22"/>
              </w:rPr>
              <w:t>The University of Auckland, School of Medicine, Auckland</w:t>
            </w:r>
          </w:p>
          <w:p w14:paraId="6C68AC87" w14:textId="4878E355" w:rsidR="00930F6C" w:rsidRPr="00930F6C" w:rsidRDefault="00930F6C" w:rsidP="00930F6C">
            <w:pPr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713" w:rsidRPr="0050053A" w14:paraId="6C68ACA3" w14:textId="77777777" w:rsidTr="003072CA">
        <w:trPr>
          <w:trHeight w:hRule="exact" w:val="10147"/>
          <w:jc w:val="center"/>
        </w:trPr>
        <w:tc>
          <w:tcPr>
            <w:tcW w:w="8830" w:type="dxa"/>
            <w:shd w:val="clear" w:color="auto" w:fill="auto"/>
          </w:tcPr>
          <w:p w14:paraId="6C68AC89" w14:textId="77777777" w:rsidR="006D4713" w:rsidRPr="00633EC7" w:rsidRDefault="00752808" w:rsidP="00DF2BC7">
            <w:pPr>
              <w:pStyle w:val="Pa12"/>
              <w:jc w:val="both"/>
              <w:rPr>
                <w:rStyle w:val="A4"/>
              </w:rPr>
            </w:pPr>
            <w:r w:rsidRPr="00633EC7">
              <w:rPr>
                <w:rStyle w:val="A4"/>
                <w:b/>
                <w:bCs/>
              </w:rPr>
              <w:t>Introduction/</w:t>
            </w:r>
            <w:r w:rsidR="006D4713" w:rsidRPr="00633EC7">
              <w:rPr>
                <w:rStyle w:val="A4"/>
                <w:b/>
                <w:bCs/>
              </w:rPr>
              <w:t xml:space="preserve">Aim: </w:t>
            </w:r>
          </w:p>
          <w:p w14:paraId="52862781" w14:textId="1604AE64" w:rsidR="0052408D" w:rsidRPr="00633EC7" w:rsidRDefault="0052408D" w:rsidP="00DF2BC7">
            <w:pPr>
              <w:pStyle w:val="Pa12"/>
              <w:jc w:val="both"/>
              <w:rPr>
                <w:sz w:val="22"/>
                <w:szCs w:val="22"/>
              </w:rPr>
            </w:pPr>
            <w:r w:rsidRPr="00633EC7">
              <w:rPr>
                <w:sz w:val="22"/>
                <w:szCs w:val="22"/>
              </w:rPr>
              <w:t>The control of exercise ventilation</w:t>
            </w:r>
            <w:r w:rsidR="00F922FA" w:rsidRPr="00633EC7">
              <w:rPr>
                <w:sz w:val="22"/>
                <w:szCs w:val="22"/>
              </w:rPr>
              <w:t>, which</w:t>
            </w:r>
            <w:r w:rsidRPr="00633EC7">
              <w:rPr>
                <w:sz w:val="22"/>
                <w:szCs w:val="22"/>
              </w:rPr>
              <w:t xml:space="preserve"> comprises of feedbac</w:t>
            </w:r>
            <w:r w:rsidR="00F922FA" w:rsidRPr="00633EC7">
              <w:rPr>
                <w:sz w:val="22"/>
                <w:szCs w:val="22"/>
              </w:rPr>
              <w:t xml:space="preserve">k and feedforward mechanisms, is </w:t>
            </w:r>
            <w:r w:rsidRPr="00633EC7">
              <w:rPr>
                <w:sz w:val="22"/>
                <w:szCs w:val="22"/>
              </w:rPr>
              <w:t xml:space="preserve">challenged during adolescence by physiological changes in respiratory system characteristics.  We </w:t>
            </w:r>
            <w:r w:rsidR="00DF2BC7" w:rsidRPr="00633EC7">
              <w:rPr>
                <w:sz w:val="22"/>
                <w:szCs w:val="22"/>
              </w:rPr>
              <w:t xml:space="preserve">subjectively </w:t>
            </w:r>
            <w:r w:rsidR="00F922FA" w:rsidRPr="00633EC7">
              <w:rPr>
                <w:sz w:val="22"/>
                <w:szCs w:val="22"/>
              </w:rPr>
              <w:t>observed</w:t>
            </w:r>
            <w:r w:rsidRPr="00633EC7">
              <w:rPr>
                <w:sz w:val="22"/>
                <w:szCs w:val="22"/>
              </w:rPr>
              <w:t xml:space="preserve"> that healthy adolescents demonstrate </w:t>
            </w:r>
            <w:r w:rsidR="003072CA" w:rsidRPr="00633EC7">
              <w:rPr>
                <w:sz w:val="22"/>
                <w:szCs w:val="22"/>
              </w:rPr>
              <w:t>irregular</w:t>
            </w:r>
            <w:r w:rsidRPr="00633EC7">
              <w:rPr>
                <w:sz w:val="22"/>
                <w:szCs w:val="22"/>
              </w:rPr>
              <w:t xml:space="preserve"> </w:t>
            </w:r>
            <w:r w:rsidR="00F922FA" w:rsidRPr="00633EC7">
              <w:rPr>
                <w:sz w:val="22"/>
                <w:szCs w:val="22"/>
              </w:rPr>
              <w:t>breathing patterns</w:t>
            </w:r>
            <w:r w:rsidRPr="00633EC7">
              <w:rPr>
                <w:sz w:val="22"/>
                <w:szCs w:val="22"/>
              </w:rPr>
              <w:t xml:space="preserve"> during incremental exercise compared healthy adults.  However, </w:t>
            </w:r>
            <w:r w:rsidR="00F922FA" w:rsidRPr="00633EC7">
              <w:rPr>
                <w:sz w:val="22"/>
                <w:szCs w:val="22"/>
                <w:lang w:val="en-GB"/>
              </w:rPr>
              <w:t xml:space="preserve">due to the increasing workload profile of </w:t>
            </w:r>
            <w:r w:rsidR="00E706A7" w:rsidRPr="00633EC7">
              <w:rPr>
                <w:sz w:val="22"/>
                <w:szCs w:val="22"/>
                <w:lang w:val="en-GB"/>
              </w:rPr>
              <w:t>incremental exercise</w:t>
            </w:r>
            <w:r w:rsidR="00F922FA" w:rsidRPr="00633EC7">
              <w:rPr>
                <w:sz w:val="22"/>
                <w:szCs w:val="22"/>
                <w:lang w:val="en-GB"/>
              </w:rPr>
              <w:t xml:space="preserve"> </w:t>
            </w:r>
            <w:r w:rsidRPr="00633EC7">
              <w:rPr>
                <w:sz w:val="22"/>
                <w:szCs w:val="22"/>
              </w:rPr>
              <w:t>we were unable to objectively quantify the</w:t>
            </w:r>
            <w:r w:rsidR="00E706A7" w:rsidRPr="00633EC7">
              <w:rPr>
                <w:sz w:val="22"/>
                <w:szCs w:val="22"/>
              </w:rPr>
              <w:t xml:space="preserve"> </w:t>
            </w:r>
            <w:r w:rsidR="003072CA" w:rsidRPr="00633EC7">
              <w:rPr>
                <w:sz w:val="22"/>
                <w:szCs w:val="22"/>
              </w:rPr>
              <w:t>irregularity</w:t>
            </w:r>
            <w:r w:rsidR="00E706A7" w:rsidRPr="00633EC7">
              <w:rPr>
                <w:sz w:val="22"/>
                <w:szCs w:val="22"/>
              </w:rPr>
              <w:t xml:space="preserve"> of</w:t>
            </w:r>
            <w:r w:rsidRPr="00633EC7">
              <w:rPr>
                <w:sz w:val="22"/>
                <w:szCs w:val="22"/>
              </w:rPr>
              <w:t xml:space="preserve"> breathing patterns.  </w:t>
            </w:r>
            <w:r w:rsidR="00F922FA" w:rsidRPr="00633EC7">
              <w:rPr>
                <w:sz w:val="22"/>
                <w:szCs w:val="22"/>
              </w:rPr>
              <w:t xml:space="preserve">Submaximal steady-state exercise provides a stable workload profile and sufficient data sample for non-linear analysis techniques such as </w:t>
            </w:r>
            <w:r w:rsidR="00DF2BC7" w:rsidRPr="00633EC7">
              <w:rPr>
                <w:sz w:val="22"/>
                <w:szCs w:val="22"/>
              </w:rPr>
              <w:t>a</w:t>
            </w:r>
            <w:r w:rsidRPr="00633EC7">
              <w:rPr>
                <w:sz w:val="22"/>
                <w:szCs w:val="22"/>
              </w:rPr>
              <w:t>pproximate entropy (</w:t>
            </w:r>
            <w:proofErr w:type="spellStart"/>
            <w:r w:rsidRPr="00633EC7">
              <w:rPr>
                <w:sz w:val="22"/>
                <w:szCs w:val="22"/>
              </w:rPr>
              <w:t>ApEn</w:t>
            </w:r>
            <w:proofErr w:type="spellEnd"/>
            <w:r w:rsidRPr="00633EC7">
              <w:rPr>
                <w:sz w:val="22"/>
                <w:szCs w:val="22"/>
              </w:rPr>
              <w:t>)</w:t>
            </w:r>
            <w:r w:rsidR="00F922FA" w:rsidRPr="00633EC7">
              <w:rPr>
                <w:sz w:val="22"/>
                <w:szCs w:val="22"/>
              </w:rPr>
              <w:t xml:space="preserve"> </w:t>
            </w:r>
            <w:r w:rsidR="00DF2BC7" w:rsidRPr="00633EC7">
              <w:rPr>
                <w:sz w:val="22"/>
                <w:szCs w:val="22"/>
              </w:rPr>
              <w:t xml:space="preserve">analysis </w:t>
            </w:r>
            <w:r w:rsidR="00F922FA" w:rsidRPr="00633EC7">
              <w:rPr>
                <w:sz w:val="22"/>
                <w:szCs w:val="22"/>
              </w:rPr>
              <w:t>to be used.</w:t>
            </w:r>
            <w:r w:rsidRPr="00633EC7">
              <w:rPr>
                <w:sz w:val="22"/>
                <w:szCs w:val="22"/>
              </w:rPr>
              <w:t xml:space="preserve"> </w:t>
            </w:r>
            <w:r w:rsidR="00F922FA" w:rsidRPr="00633EC7">
              <w:rPr>
                <w:sz w:val="22"/>
                <w:szCs w:val="22"/>
              </w:rPr>
              <w:t xml:space="preserve"> </w:t>
            </w:r>
            <w:r w:rsidRPr="00633EC7">
              <w:rPr>
                <w:sz w:val="22"/>
                <w:szCs w:val="22"/>
              </w:rPr>
              <w:t xml:space="preserve">This study aimed to use </w:t>
            </w:r>
            <w:proofErr w:type="spellStart"/>
            <w:r w:rsidRPr="00633EC7">
              <w:rPr>
                <w:sz w:val="22"/>
                <w:szCs w:val="22"/>
              </w:rPr>
              <w:t>ApEn</w:t>
            </w:r>
            <w:proofErr w:type="spellEnd"/>
            <w:r w:rsidRPr="00633EC7">
              <w:rPr>
                <w:sz w:val="22"/>
                <w:szCs w:val="22"/>
              </w:rPr>
              <w:t xml:space="preserve"> analysis to quantify and compare the ventilatory response during steady-state exercise </w:t>
            </w:r>
            <w:r w:rsidR="00E706A7" w:rsidRPr="00633EC7">
              <w:rPr>
                <w:sz w:val="22"/>
                <w:szCs w:val="22"/>
              </w:rPr>
              <w:t>of</w:t>
            </w:r>
            <w:r w:rsidRPr="00633EC7">
              <w:rPr>
                <w:sz w:val="22"/>
                <w:szCs w:val="22"/>
              </w:rPr>
              <w:t xml:space="preserve"> physically active and healthy adolescent </w:t>
            </w:r>
            <w:r w:rsidR="00E706A7" w:rsidRPr="00633EC7">
              <w:rPr>
                <w:sz w:val="22"/>
                <w:szCs w:val="22"/>
              </w:rPr>
              <w:t>versus</w:t>
            </w:r>
            <w:r w:rsidRPr="00633EC7">
              <w:rPr>
                <w:sz w:val="22"/>
                <w:szCs w:val="22"/>
              </w:rPr>
              <w:t xml:space="preserve"> adult subjects. </w:t>
            </w:r>
          </w:p>
          <w:p w14:paraId="6C68AC8C" w14:textId="4430BFA6" w:rsidR="006D4713" w:rsidRPr="00633EC7" w:rsidRDefault="006D4713" w:rsidP="00DF2BC7">
            <w:pPr>
              <w:pStyle w:val="Pa12"/>
              <w:jc w:val="both"/>
              <w:rPr>
                <w:rStyle w:val="A4"/>
                <w:color w:val="auto"/>
              </w:rPr>
            </w:pPr>
          </w:p>
          <w:p w14:paraId="6C68AC8D" w14:textId="77777777" w:rsidR="006D4713" w:rsidRPr="00633EC7" w:rsidRDefault="006D4713" w:rsidP="00DF2BC7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633EC7">
              <w:rPr>
                <w:rStyle w:val="A4"/>
                <w:b/>
                <w:bCs/>
              </w:rPr>
              <w:t xml:space="preserve">Method: </w:t>
            </w:r>
          </w:p>
          <w:p w14:paraId="6C68AC90" w14:textId="34D1D77D" w:rsidR="006D4713" w:rsidRPr="00633EC7" w:rsidRDefault="00930F6C" w:rsidP="00DF2BC7">
            <w:pPr>
              <w:pStyle w:val="Pa12"/>
              <w:jc w:val="both"/>
              <w:rPr>
                <w:sz w:val="22"/>
                <w:szCs w:val="22"/>
              </w:rPr>
            </w:pPr>
            <w:r w:rsidRPr="00633EC7">
              <w:rPr>
                <w:sz w:val="22"/>
                <w:szCs w:val="22"/>
                <w:lang w:val="en-GB"/>
              </w:rPr>
              <w:t xml:space="preserve">Two groups were recruited: </w:t>
            </w:r>
            <w:r w:rsidR="00430FC5" w:rsidRPr="00633EC7">
              <w:rPr>
                <w:sz w:val="22"/>
                <w:szCs w:val="22"/>
                <w:lang w:val="en-GB"/>
              </w:rPr>
              <w:t xml:space="preserve">the adult group (n=9, 5F:4M, age 25-35 yrs.) and </w:t>
            </w:r>
            <w:r w:rsidRPr="00633EC7">
              <w:rPr>
                <w:sz w:val="22"/>
                <w:szCs w:val="22"/>
                <w:lang w:val="en-GB"/>
              </w:rPr>
              <w:t>the adolescent group (n</w:t>
            </w:r>
            <w:r w:rsidR="00430FC5" w:rsidRPr="00633EC7">
              <w:rPr>
                <w:sz w:val="22"/>
                <w:szCs w:val="22"/>
                <w:lang w:val="en-GB"/>
              </w:rPr>
              <w:t>=12, 7F:5M, age 12-14 yrs.)</w:t>
            </w:r>
            <w:r w:rsidRPr="00633EC7">
              <w:rPr>
                <w:sz w:val="22"/>
                <w:szCs w:val="22"/>
                <w:lang w:val="en-GB"/>
              </w:rPr>
              <w:t xml:space="preserve">.  </w:t>
            </w:r>
            <w:r w:rsidR="00122343" w:rsidRPr="00633EC7">
              <w:rPr>
                <w:sz w:val="22"/>
                <w:szCs w:val="22"/>
                <w:lang w:val="en-GB"/>
              </w:rPr>
              <w:t>Subjects</w:t>
            </w:r>
            <w:r w:rsidR="00E53916" w:rsidRPr="00633EC7">
              <w:rPr>
                <w:sz w:val="22"/>
                <w:szCs w:val="22"/>
                <w:lang w:val="en-GB"/>
              </w:rPr>
              <w:t xml:space="preserve"> performed 15</w:t>
            </w:r>
            <w:r w:rsidRPr="00633EC7">
              <w:rPr>
                <w:sz w:val="22"/>
                <w:szCs w:val="22"/>
                <w:lang w:val="en-GB"/>
              </w:rPr>
              <w:t>-minutes of steady state exercise on a cy</w:t>
            </w:r>
            <w:r w:rsidR="00430FC5" w:rsidRPr="00633EC7">
              <w:rPr>
                <w:sz w:val="22"/>
                <w:szCs w:val="22"/>
                <w:lang w:val="en-GB"/>
              </w:rPr>
              <w:t xml:space="preserve">cle ergometer at a workload of 1 </w:t>
            </w:r>
            <w:r w:rsidRPr="00633EC7">
              <w:rPr>
                <w:sz w:val="22"/>
                <w:szCs w:val="22"/>
                <w:lang w:val="en-GB"/>
              </w:rPr>
              <w:t>W·kg</w:t>
            </w:r>
            <w:r w:rsidRPr="00633EC7">
              <w:rPr>
                <w:sz w:val="22"/>
                <w:szCs w:val="22"/>
                <w:vertAlign w:val="superscript"/>
                <w:lang w:val="en-GB"/>
              </w:rPr>
              <w:t>-1</w:t>
            </w:r>
            <w:r w:rsidRPr="00633EC7">
              <w:rPr>
                <w:sz w:val="22"/>
                <w:szCs w:val="22"/>
                <w:lang w:val="en-GB"/>
              </w:rPr>
              <w:t xml:space="preserve"> of body weight.  </w:t>
            </w:r>
            <w:proofErr w:type="spellStart"/>
            <w:r w:rsidR="00430FC5" w:rsidRPr="00633EC7">
              <w:rPr>
                <w:sz w:val="22"/>
                <w:szCs w:val="22"/>
                <w:lang w:val="en-GB"/>
              </w:rPr>
              <w:t>ApEn</w:t>
            </w:r>
            <w:proofErr w:type="spellEnd"/>
            <w:r w:rsidR="00430FC5" w:rsidRPr="00633EC7">
              <w:rPr>
                <w:sz w:val="22"/>
                <w:szCs w:val="22"/>
                <w:lang w:val="en-GB"/>
              </w:rPr>
              <w:t xml:space="preserve"> analysis was performed for V</w:t>
            </w:r>
            <w:r w:rsidR="00430FC5" w:rsidRPr="00633EC7">
              <w:rPr>
                <w:position w:val="-6"/>
                <w:sz w:val="22"/>
                <w:szCs w:val="22"/>
                <w:lang w:val="en-GB"/>
              </w:rPr>
              <w:t>E</w:t>
            </w:r>
            <w:r w:rsidR="00430FC5" w:rsidRPr="00633EC7">
              <w:rPr>
                <w:sz w:val="22"/>
                <w:szCs w:val="22"/>
                <w:lang w:val="en-GB"/>
              </w:rPr>
              <w:t>, V</w:t>
            </w:r>
            <w:r w:rsidR="00430FC5" w:rsidRPr="00633EC7">
              <w:rPr>
                <w:sz w:val="22"/>
                <w:szCs w:val="22"/>
                <w:vertAlign w:val="subscript"/>
                <w:lang w:val="en-GB"/>
              </w:rPr>
              <w:t>T</w:t>
            </w:r>
            <w:r w:rsidR="00430FC5" w:rsidRPr="00633EC7">
              <w:rPr>
                <w:sz w:val="22"/>
                <w:szCs w:val="22"/>
                <w:lang w:val="en-GB"/>
              </w:rPr>
              <w:t>, and B</w:t>
            </w:r>
            <w:r w:rsidR="00430FC5" w:rsidRPr="00633EC7">
              <w:rPr>
                <w:sz w:val="22"/>
                <w:szCs w:val="22"/>
                <w:vertAlign w:val="subscript"/>
                <w:lang w:val="en-GB"/>
              </w:rPr>
              <w:t>f</w:t>
            </w:r>
            <w:r w:rsidR="00430FC5" w:rsidRPr="00633EC7">
              <w:rPr>
                <w:sz w:val="22"/>
                <w:szCs w:val="22"/>
                <w:lang w:val="en-GB"/>
              </w:rPr>
              <w:t xml:space="preserve">. </w:t>
            </w:r>
            <w:r w:rsidRPr="00633EC7">
              <w:rPr>
                <w:sz w:val="22"/>
                <w:szCs w:val="22"/>
                <w:lang w:val="en-GB"/>
              </w:rPr>
              <w:t xml:space="preserve"> The Mann-Whitney U test compared </w:t>
            </w:r>
            <w:proofErr w:type="spellStart"/>
            <w:r w:rsidRPr="00633EC7">
              <w:rPr>
                <w:sz w:val="22"/>
                <w:szCs w:val="22"/>
                <w:lang w:val="en-GB"/>
              </w:rPr>
              <w:t>ApEn</w:t>
            </w:r>
            <w:proofErr w:type="spellEnd"/>
            <w:r w:rsidRPr="00633EC7">
              <w:rPr>
                <w:sz w:val="22"/>
                <w:szCs w:val="22"/>
                <w:lang w:val="en-GB"/>
              </w:rPr>
              <w:t xml:space="preserve"> results </w:t>
            </w:r>
            <w:r w:rsidR="00430FC5" w:rsidRPr="00633EC7">
              <w:rPr>
                <w:sz w:val="22"/>
                <w:szCs w:val="22"/>
                <w:lang w:val="en-GB"/>
              </w:rPr>
              <w:t xml:space="preserve">between the groups </w:t>
            </w:r>
            <w:r w:rsidRPr="00633EC7">
              <w:rPr>
                <w:sz w:val="22"/>
                <w:szCs w:val="22"/>
                <w:lang w:val="en-GB"/>
              </w:rPr>
              <w:t>and alpha was set at 0.05.</w:t>
            </w:r>
          </w:p>
          <w:p w14:paraId="71B1FD34" w14:textId="77777777" w:rsidR="00930F6C" w:rsidRPr="00633EC7" w:rsidRDefault="00930F6C" w:rsidP="00DF2BC7">
            <w:pPr>
              <w:pStyle w:val="Default"/>
              <w:jc w:val="both"/>
            </w:pPr>
          </w:p>
          <w:p w14:paraId="6C68AC91" w14:textId="77777777" w:rsidR="006D4713" w:rsidRPr="00633EC7" w:rsidRDefault="006D4713" w:rsidP="00DF2BC7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633EC7">
              <w:rPr>
                <w:rStyle w:val="A4"/>
                <w:b/>
                <w:bCs/>
              </w:rPr>
              <w:t xml:space="preserve">Results: </w:t>
            </w:r>
          </w:p>
          <w:p w14:paraId="6C68AC93" w14:textId="4793F5E0" w:rsidR="006D4713" w:rsidRPr="00633EC7" w:rsidRDefault="00E30ADD" w:rsidP="00DF2BC7">
            <w:pPr>
              <w:pStyle w:val="Pa12"/>
              <w:jc w:val="both"/>
              <w:rPr>
                <w:sz w:val="22"/>
                <w:szCs w:val="22"/>
              </w:rPr>
            </w:pPr>
            <w:proofErr w:type="spellStart"/>
            <w:r w:rsidRPr="00633EC7">
              <w:rPr>
                <w:sz w:val="22"/>
                <w:szCs w:val="22"/>
              </w:rPr>
              <w:t>ApEn</w:t>
            </w:r>
            <w:proofErr w:type="spellEnd"/>
            <w:r w:rsidRPr="00633EC7">
              <w:rPr>
                <w:sz w:val="22"/>
                <w:szCs w:val="22"/>
              </w:rPr>
              <w:t xml:space="preserve"> was significantly higher </w:t>
            </w:r>
            <w:r w:rsidR="00430FC5" w:rsidRPr="00633EC7">
              <w:rPr>
                <w:sz w:val="22"/>
                <w:szCs w:val="22"/>
              </w:rPr>
              <w:t>for</w:t>
            </w:r>
            <w:r w:rsidRPr="00633EC7">
              <w:rPr>
                <w:sz w:val="22"/>
                <w:szCs w:val="22"/>
              </w:rPr>
              <w:t xml:space="preserve"> the adolescent group compared to the adult group for V</w:t>
            </w:r>
            <w:r w:rsidRPr="00633EC7">
              <w:rPr>
                <w:position w:val="-6"/>
                <w:sz w:val="22"/>
                <w:szCs w:val="22"/>
              </w:rPr>
              <w:t>E</w:t>
            </w:r>
            <w:r w:rsidRPr="00633EC7">
              <w:rPr>
                <w:sz w:val="22"/>
                <w:szCs w:val="22"/>
              </w:rPr>
              <w:t xml:space="preserve"> (1.25 ± 0.13 vs. 1.03 ± 0.</w:t>
            </w:r>
            <w:r w:rsidR="00FA6B64" w:rsidRPr="00633EC7">
              <w:rPr>
                <w:sz w:val="22"/>
                <w:szCs w:val="22"/>
              </w:rPr>
              <w:t>0</w:t>
            </w:r>
            <w:r w:rsidRPr="00633EC7">
              <w:rPr>
                <w:sz w:val="22"/>
                <w:szCs w:val="22"/>
              </w:rPr>
              <w:t xml:space="preserve">2), </w:t>
            </w:r>
            <w:r w:rsidR="00FA6B64" w:rsidRPr="00633EC7">
              <w:rPr>
                <w:sz w:val="22"/>
                <w:szCs w:val="22"/>
              </w:rPr>
              <w:t>B</w:t>
            </w:r>
            <w:r w:rsidR="00FA6B64" w:rsidRPr="00633EC7">
              <w:rPr>
                <w:sz w:val="22"/>
                <w:szCs w:val="22"/>
                <w:vertAlign w:val="subscript"/>
              </w:rPr>
              <w:t>f</w:t>
            </w:r>
            <w:r w:rsidRPr="00633EC7">
              <w:rPr>
                <w:sz w:val="22"/>
                <w:szCs w:val="22"/>
              </w:rPr>
              <w:t xml:space="preserve"> (1.28 ± 0.05 vs. 1.12 ± 0.11, p&lt;0.05) and </w:t>
            </w:r>
            <w:r w:rsidR="00FA6B64" w:rsidRPr="00633EC7">
              <w:rPr>
                <w:sz w:val="22"/>
                <w:szCs w:val="22"/>
              </w:rPr>
              <w:t>V</w:t>
            </w:r>
            <w:r w:rsidR="00FA6B64" w:rsidRPr="00633EC7">
              <w:rPr>
                <w:sz w:val="22"/>
                <w:szCs w:val="22"/>
                <w:vertAlign w:val="subscript"/>
              </w:rPr>
              <w:t>T</w:t>
            </w:r>
            <w:r w:rsidRPr="00633EC7">
              <w:rPr>
                <w:sz w:val="22"/>
                <w:szCs w:val="22"/>
              </w:rPr>
              <w:t xml:space="preserve"> (1.31 ± 0.07 vs. 1.19 ± 0.11, p&lt;0.01).</w:t>
            </w:r>
          </w:p>
          <w:p w14:paraId="6C68AC94" w14:textId="77777777" w:rsidR="006D4713" w:rsidRPr="00633EC7" w:rsidRDefault="006D4713" w:rsidP="00DF2BC7">
            <w:pPr>
              <w:pStyle w:val="Pa12"/>
              <w:jc w:val="both"/>
              <w:rPr>
                <w:rStyle w:val="A4"/>
                <w:bCs/>
              </w:rPr>
            </w:pPr>
          </w:p>
          <w:p w14:paraId="6C68AC95" w14:textId="77777777" w:rsidR="006D4713" w:rsidRPr="00633EC7" w:rsidRDefault="006D4713" w:rsidP="00DF2BC7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633EC7">
              <w:rPr>
                <w:rStyle w:val="A4"/>
                <w:b/>
                <w:bCs/>
              </w:rPr>
              <w:t xml:space="preserve">Conclusion: </w:t>
            </w:r>
          </w:p>
          <w:p w14:paraId="6C68AC97" w14:textId="5EE19C1D" w:rsidR="006D4713" w:rsidRPr="00633EC7" w:rsidRDefault="00FA6B64" w:rsidP="00DF2BC7">
            <w:pPr>
              <w:pStyle w:val="Pa12"/>
              <w:jc w:val="both"/>
              <w:rPr>
                <w:sz w:val="22"/>
                <w:szCs w:val="22"/>
              </w:rPr>
            </w:pPr>
            <w:r w:rsidRPr="00633EC7">
              <w:rPr>
                <w:sz w:val="22"/>
                <w:szCs w:val="22"/>
                <w:lang w:val="en-GB"/>
              </w:rPr>
              <w:t xml:space="preserve">Using </w:t>
            </w:r>
            <w:proofErr w:type="spellStart"/>
            <w:r w:rsidRPr="00633EC7">
              <w:rPr>
                <w:sz w:val="22"/>
                <w:szCs w:val="22"/>
                <w:lang w:val="en-GB"/>
              </w:rPr>
              <w:t>ApEn</w:t>
            </w:r>
            <w:proofErr w:type="spellEnd"/>
            <w:r w:rsidRPr="00633EC7">
              <w:rPr>
                <w:sz w:val="22"/>
                <w:szCs w:val="22"/>
                <w:lang w:val="en-GB"/>
              </w:rPr>
              <w:t xml:space="preserve"> analysis we showed greater </w:t>
            </w:r>
            <w:r w:rsidR="003072CA" w:rsidRPr="00633EC7">
              <w:rPr>
                <w:sz w:val="22"/>
                <w:szCs w:val="22"/>
                <w:lang w:val="en-GB"/>
              </w:rPr>
              <w:t>irregularity</w:t>
            </w:r>
            <w:r w:rsidRPr="00633EC7">
              <w:rPr>
                <w:sz w:val="22"/>
                <w:szCs w:val="22"/>
                <w:lang w:val="en-GB"/>
              </w:rPr>
              <w:t xml:space="preserve"> of V</w:t>
            </w:r>
            <w:r w:rsidRPr="00633EC7">
              <w:rPr>
                <w:position w:val="-6"/>
                <w:sz w:val="22"/>
                <w:szCs w:val="22"/>
                <w:lang w:val="en-GB"/>
              </w:rPr>
              <w:t>E</w:t>
            </w:r>
            <w:r w:rsidRPr="00633EC7">
              <w:rPr>
                <w:sz w:val="22"/>
                <w:szCs w:val="22"/>
                <w:lang w:val="en-GB"/>
              </w:rPr>
              <w:t>, B</w:t>
            </w:r>
            <w:r w:rsidRPr="00633EC7">
              <w:rPr>
                <w:sz w:val="22"/>
                <w:szCs w:val="22"/>
                <w:vertAlign w:val="subscript"/>
                <w:lang w:val="en-GB"/>
              </w:rPr>
              <w:t>f</w:t>
            </w:r>
            <w:r w:rsidRPr="00633EC7">
              <w:rPr>
                <w:sz w:val="22"/>
                <w:szCs w:val="22"/>
                <w:lang w:val="en-GB"/>
              </w:rPr>
              <w:t xml:space="preserve"> and V</w:t>
            </w:r>
            <w:r w:rsidRPr="00633EC7">
              <w:rPr>
                <w:sz w:val="22"/>
                <w:szCs w:val="22"/>
                <w:vertAlign w:val="subscript"/>
                <w:lang w:val="en-GB"/>
              </w:rPr>
              <w:t>T</w:t>
            </w:r>
            <w:r w:rsidRPr="00633EC7">
              <w:rPr>
                <w:sz w:val="22"/>
                <w:szCs w:val="22"/>
                <w:lang w:val="en-GB"/>
              </w:rPr>
              <w:t xml:space="preserve"> </w:t>
            </w:r>
            <w:r w:rsidR="00430FC5" w:rsidRPr="00633EC7">
              <w:rPr>
                <w:sz w:val="22"/>
                <w:szCs w:val="22"/>
                <w:lang w:val="en-GB"/>
              </w:rPr>
              <w:t>for healthy adolescent compared to healthy adult subjects</w:t>
            </w:r>
            <w:r w:rsidRPr="00633EC7">
              <w:rPr>
                <w:sz w:val="22"/>
                <w:szCs w:val="22"/>
                <w:lang w:val="en-GB"/>
              </w:rPr>
              <w:t xml:space="preserve">.  We </w:t>
            </w:r>
            <w:r w:rsidR="00930F6C" w:rsidRPr="00633EC7">
              <w:rPr>
                <w:sz w:val="22"/>
                <w:szCs w:val="22"/>
                <w:lang w:val="en-GB"/>
              </w:rPr>
              <w:t>propose</w:t>
            </w:r>
            <w:r w:rsidRPr="00633EC7">
              <w:rPr>
                <w:sz w:val="22"/>
                <w:szCs w:val="22"/>
                <w:lang w:val="en-GB"/>
              </w:rPr>
              <w:t xml:space="preserve"> that the greater </w:t>
            </w:r>
            <w:r w:rsidR="003072CA" w:rsidRPr="00633EC7">
              <w:rPr>
                <w:sz w:val="22"/>
                <w:szCs w:val="22"/>
                <w:lang w:val="en-GB"/>
              </w:rPr>
              <w:t>irregularity</w:t>
            </w:r>
            <w:r w:rsidRPr="00633EC7">
              <w:rPr>
                <w:sz w:val="22"/>
                <w:szCs w:val="22"/>
                <w:lang w:val="en-GB"/>
              </w:rPr>
              <w:t xml:space="preserve"> of breathing patterns </w:t>
            </w:r>
            <w:r w:rsidR="00930F6C" w:rsidRPr="00633EC7">
              <w:rPr>
                <w:sz w:val="22"/>
                <w:szCs w:val="22"/>
                <w:lang w:val="en-GB"/>
              </w:rPr>
              <w:t>observed in adolescent subjects</w:t>
            </w:r>
            <w:r w:rsidR="00430FC5" w:rsidRPr="00633EC7">
              <w:rPr>
                <w:sz w:val="22"/>
                <w:szCs w:val="22"/>
                <w:lang w:val="en-GB"/>
              </w:rPr>
              <w:t xml:space="preserve"> </w:t>
            </w:r>
            <w:r w:rsidR="00E706A7" w:rsidRPr="00633EC7">
              <w:rPr>
                <w:sz w:val="22"/>
                <w:szCs w:val="22"/>
                <w:lang w:val="en-GB"/>
              </w:rPr>
              <w:t xml:space="preserve">likely reflects </w:t>
            </w:r>
            <w:r w:rsidR="0090142D" w:rsidRPr="00633EC7">
              <w:rPr>
                <w:sz w:val="22"/>
                <w:szCs w:val="22"/>
                <w:lang w:val="en-GB"/>
              </w:rPr>
              <w:t xml:space="preserve">the </w:t>
            </w:r>
            <w:r w:rsidR="00E706A7" w:rsidRPr="00633EC7">
              <w:rPr>
                <w:sz w:val="22"/>
                <w:szCs w:val="22"/>
                <w:lang w:val="en-GB"/>
              </w:rPr>
              <w:t xml:space="preserve">development and maturation of ventilatory control </w:t>
            </w:r>
            <w:r w:rsidR="00E53916" w:rsidRPr="00633EC7">
              <w:rPr>
                <w:sz w:val="22"/>
                <w:szCs w:val="22"/>
                <w:lang w:val="en-GB"/>
              </w:rPr>
              <w:t xml:space="preserve">and </w:t>
            </w:r>
            <w:r w:rsidR="00430FC5" w:rsidRPr="00633EC7">
              <w:rPr>
                <w:sz w:val="22"/>
                <w:szCs w:val="22"/>
                <w:lang w:val="en-GB"/>
              </w:rPr>
              <w:t>should not be viewed as abnormal</w:t>
            </w:r>
            <w:r w:rsidRPr="00633EC7">
              <w:rPr>
                <w:sz w:val="22"/>
                <w:szCs w:val="22"/>
                <w:lang w:val="en-GB"/>
              </w:rPr>
              <w:t>.</w:t>
            </w:r>
          </w:p>
          <w:p w14:paraId="6C68AC98" w14:textId="77777777" w:rsidR="006D4713" w:rsidRPr="00633EC7" w:rsidRDefault="00C91C8C" w:rsidP="00DF2BC7">
            <w:pPr>
              <w:pStyle w:val="Pa12"/>
              <w:jc w:val="both"/>
              <w:rPr>
                <w:rStyle w:val="A4"/>
                <w:bCs/>
              </w:rPr>
            </w:pPr>
            <w:r w:rsidRPr="00633EC7">
              <w:rPr>
                <w:rStyle w:val="A4"/>
                <w:bCs/>
              </w:rPr>
              <w:t xml:space="preserve"> </w:t>
            </w:r>
          </w:p>
          <w:p w14:paraId="6C68AC9B" w14:textId="362BDADC" w:rsidR="006D4713" w:rsidRPr="00633EC7" w:rsidRDefault="006D4713" w:rsidP="00DF2BC7">
            <w:pPr>
              <w:pStyle w:val="Pa12"/>
              <w:rPr>
                <w:rStyle w:val="A4"/>
              </w:rPr>
            </w:pPr>
            <w:r w:rsidRPr="00633EC7">
              <w:rPr>
                <w:rStyle w:val="A4"/>
                <w:b/>
                <w:bCs/>
              </w:rPr>
              <w:t>Key Words</w:t>
            </w:r>
            <w:r w:rsidRPr="00633EC7">
              <w:rPr>
                <w:rStyle w:val="A4"/>
                <w:b/>
              </w:rPr>
              <w:t>:</w:t>
            </w:r>
            <w:r w:rsidRPr="00633EC7">
              <w:rPr>
                <w:rStyle w:val="A4"/>
              </w:rPr>
              <w:t xml:space="preserve"> </w:t>
            </w:r>
            <w:r w:rsidR="00122343" w:rsidRPr="00633EC7">
              <w:rPr>
                <w:rStyle w:val="A4"/>
              </w:rPr>
              <w:t>Approximate entropy, ventilatory control</w:t>
            </w:r>
            <w:r w:rsidR="00430FC5" w:rsidRPr="00633EC7">
              <w:rPr>
                <w:rStyle w:val="A4"/>
              </w:rPr>
              <w:t xml:space="preserve">, </w:t>
            </w:r>
            <w:r w:rsidR="003072CA" w:rsidRPr="00633EC7">
              <w:rPr>
                <w:rStyle w:val="A4"/>
              </w:rPr>
              <w:t>adolescence</w:t>
            </w:r>
            <w:r w:rsidR="00C91C8C" w:rsidRPr="00633EC7">
              <w:rPr>
                <w:rStyle w:val="A4"/>
                <w:bCs/>
              </w:rPr>
              <w:br/>
            </w:r>
          </w:p>
          <w:p w14:paraId="6C68ACA0" w14:textId="08A452B5" w:rsidR="006D4713" w:rsidRPr="003072CA" w:rsidRDefault="006D4713" w:rsidP="009C1987">
            <w:pPr>
              <w:pStyle w:val="Pa12"/>
              <w:rPr>
                <w:rStyle w:val="A4"/>
                <w:rFonts w:asciiTheme="minorHAnsi" w:hAnsiTheme="minorHAnsi" w:cstheme="minorHAnsi"/>
                <w:b/>
                <w:bCs/>
              </w:rPr>
            </w:pPr>
            <w:r w:rsidRPr="00633EC7">
              <w:rPr>
                <w:rStyle w:val="A4"/>
                <w:b/>
                <w:bCs/>
              </w:rPr>
              <w:t xml:space="preserve">Grant Support: </w:t>
            </w:r>
            <w:r w:rsidR="00930F6C" w:rsidRPr="00633EC7">
              <w:rPr>
                <w:sz w:val="22"/>
                <w:szCs w:val="22"/>
              </w:rPr>
              <w:t>This research was supported by an award from The Green Lane Research and Education Fund.</w:t>
            </w:r>
            <w:r w:rsidRPr="00633EC7">
              <w:rPr>
                <w:rStyle w:val="A4"/>
                <w:bCs/>
              </w:rPr>
              <w:br/>
            </w:r>
            <w:r w:rsidRPr="00930F6C">
              <w:rPr>
                <w:rStyle w:val="A4"/>
                <w:rFonts w:asciiTheme="minorHAnsi" w:hAnsiTheme="minorHAnsi" w:cstheme="minorHAnsi"/>
                <w:bCs/>
              </w:rPr>
              <w:br/>
            </w:r>
            <w:r w:rsidRPr="00930F6C">
              <w:rPr>
                <w:rStyle w:val="A4"/>
                <w:rFonts w:asciiTheme="minorHAnsi" w:hAnsiTheme="minorHAnsi" w:cstheme="minorHAnsi"/>
                <w:bCs/>
              </w:rPr>
              <w:br/>
            </w:r>
            <w:r w:rsidRPr="00930F6C">
              <w:rPr>
                <w:rStyle w:val="A4"/>
                <w:rFonts w:asciiTheme="minorHAnsi" w:hAnsiTheme="minorHAnsi" w:cstheme="minorHAnsi"/>
                <w:bCs/>
              </w:rPr>
              <w:br/>
            </w:r>
            <w:r w:rsidRPr="00930F6C">
              <w:rPr>
                <w:rStyle w:val="A4"/>
                <w:rFonts w:asciiTheme="minorHAnsi" w:hAnsiTheme="minorHAnsi" w:cstheme="minorHAnsi"/>
                <w:bCs/>
              </w:rPr>
              <w:br/>
            </w:r>
            <w:r w:rsidRPr="00930F6C">
              <w:rPr>
                <w:rStyle w:val="A4"/>
                <w:rFonts w:asciiTheme="minorHAnsi" w:hAnsiTheme="minorHAnsi" w:cstheme="minorHAnsi"/>
                <w:bCs/>
              </w:rPr>
              <w:br/>
            </w:r>
          </w:p>
          <w:p w14:paraId="6C68ACA1" w14:textId="77777777" w:rsidR="006D4713" w:rsidRPr="00930F6C" w:rsidRDefault="006D4713" w:rsidP="009C1987">
            <w:pPr>
              <w:pStyle w:val="Default"/>
              <w:rPr>
                <w:rStyle w:val="A4"/>
                <w:rFonts w:asciiTheme="minorHAnsi" w:hAnsiTheme="minorHAnsi" w:cstheme="minorHAnsi"/>
                <w:bCs/>
              </w:rPr>
            </w:pPr>
          </w:p>
          <w:p w14:paraId="6C68ACA2" w14:textId="77777777" w:rsidR="006D4713" w:rsidRPr="00930F6C" w:rsidRDefault="006D4713" w:rsidP="009C198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</w:pP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  <w:r w:rsidRPr="00930F6C">
              <w:rPr>
                <w:rFonts w:asciiTheme="minorHAnsi" w:hAnsiTheme="minorHAnsi" w:cstheme="minorHAnsi"/>
                <w:sz w:val="22"/>
                <w:szCs w:val="22"/>
                <w:lang w:val="en-US" w:eastAsia="en-GB"/>
              </w:rPr>
              <w:br/>
            </w:r>
          </w:p>
        </w:tc>
      </w:tr>
    </w:tbl>
    <w:p w14:paraId="0FEB58A2" w14:textId="77777777" w:rsidR="009656B9" w:rsidRDefault="009656B9" w:rsidP="00487EC0">
      <w:pPr>
        <w:ind w:left="720"/>
        <w:rPr>
          <w:rFonts w:ascii="Arial" w:hAnsi="Arial" w:cs="Arial"/>
          <w:highlight w:val="lightGray"/>
        </w:rPr>
      </w:pPr>
    </w:p>
    <w:p w14:paraId="6C68ACA4" w14:textId="77777777" w:rsidR="00EE3EA8" w:rsidRDefault="00EE3EA8"/>
    <w:sectPr w:rsidR="00EE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13"/>
    <w:rsid w:val="00122343"/>
    <w:rsid w:val="00204E49"/>
    <w:rsid w:val="00234E84"/>
    <w:rsid w:val="002B4988"/>
    <w:rsid w:val="003072CA"/>
    <w:rsid w:val="00323005"/>
    <w:rsid w:val="00361F7E"/>
    <w:rsid w:val="00380F60"/>
    <w:rsid w:val="003F0690"/>
    <w:rsid w:val="00430FC5"/>
    <w:rsid w:val="00487EC0"/>
    <w:rsid w:val="0052408D"/>
    <w:rsid w:val="00542F8F"/>
    <w:rsid w:val="005B3C80"/>
    <w:rsid w:val="00633EC7"/>
    <w:rsid w:val="006438E9"/>
    <w:rsid w:val="0068738A"/>
    <w:rsid w:val="006D4713"/>
    <w:rsid w:val="00752808"/>
    <w:rsid w:val="0090142D"/>
    <w:rsid w:val="00930F6C"/>
    <w:rsid w:val="009656B9"/>
    <w:rsid w:val="00A34AFA"/>
    <w:rsid w:val="00A37878"/>
    <w:rsid w:val="00C91C8C"/>
    <w:rsid w:val="00D02B65"/>
    <w:rsid w:val="00DF2BC7"/>
    <w:rsid w:val="00E30ADD"/>
    <w:rsid w:val="00E53916"/>
    <w:rsid w:val="00E706A7"/>
    <w:rsid w:val="00EE3EA8"/>
    <w:rsid w:val="00F922FA"/>
    <w:rsid w:val="00F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cab52c9b-ab33-4221-8af9-54f8f2b86a80"/>
    <ds:schemaRef ds:uri="http://schemas.microsoft.com/office/2006/documentManagement/types"/>
    <ds:schemaRef ds:uri="http://schemas.openxmlformats.org/package/2006/metadata/core-properties"/>
    <ds:schemaRef ds:uri="9c8a2b7b-0bee-4c48-b0a6-23db8982d3bc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1891B-EB64-4B4B-9D34-3BEB43DD8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Leah McLeod</cp:lastModifiedBy>
  <cp:revision>2</cp:revision>
  <dcterms:created xsi:type="dcterms:W3CDTF">2023-10-17T00:01:00Z</dcterms:created>
  <dcterms:modified xsi:type="dcterms:W3CDTF">2023-10-17T00:01:00Z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