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193E64C0" w:rsidR="00C8423A" w:rsidRPr="008617E0" w:rsidRDefault="008617E0" w:rsidP="003F495E">
            <w:pPr>
              <w:jc w:val="both"/>
              <w:rPr>
                <w:rFonts w:ascii="Arial" w:hAnsi="Arial" w:cs="Arial"/>
                <w:bCs/>
                <w:i/>
                <w:iCs/>
                <w:sz w:val="22"/>
                <w:szCs w:val="22"/>
              </w:rPr>
            </w:pPr>
            <w:r w:rsidRPr="008617E0">
              <w:rPr>
                <w:rFonts w:ascii="Arial" w:hAnsi="Arial" w:cs="Arial"/>
                <w:bCs/>
                <w:i/>
                <w:iCs/>
                <w:sz w:val="22"/>
                <w:szCs w:val="22"/>
              </w:rPr>
              <w:t>Paper</w:t>
            </w:r>
          </w:p>
          <w:p w14:paraId="00C15347" w14:textId="13A48038" w:rsidR="008F6132" w:rsidRPr="008617E0" w:rsidRDefault="008F6132" w:rsidP="003F495E">
            <w:pPr>
              <w:jc w:val="both"/>
              <w:rPr>
                <w:rFonts w:ascii="Arial" w:hAnsi="Arial" w:cs="Arial"/>
                <w:b/>
                <w:bCs/>
                <w:sz w:val="22"/>
                <w:szCs w:val="22"/>
              </w:rPr>
            </w:pPr>
            <w:r w:rsidRPr="008617E0">
              <w:rPr>
                <w:rFonts w:ascii="Arial" w:hAnsi="Arial" w:cs="Arial"/>
                <w:b/>
                <w:bCs/>
                <w:sz w:val="22"/>
                <w:szCs w:val="22"/>
              </w:rPr>
              <w:t xml:space="preserve">Western Australia’s Climate Adaptation Strategy; delivering enabling conditions for climate resilience, with case studies in sector adaptation planning and </w:t>
            </w:r>
            <w:proofErr w:type="gramStart"/>
            <w:r w:rsidRPr="008617E0">
              <w:rPr>
                <w:rFonts w:ascii="Arial" w:hAnsi="Arial" w:cs="Arial"/>
                <w:b/>
                <w:bCs/>
                <w:sz w:val="22"/>
                <w:szCs w:val="22"/>
              </w:rPr>
              <w:t>Public</w:t>
            </w:r>
            <w:proofErr w:type="gramEnd"/>
            <w:r w:rsidRPr="008617E0">
              <w:rPr>
                <w:rFonts w:ascii="Arial" w:hAnsi="Arial" w:cs="Arial"/>
                <w:b/>
                <w:bCs/>
                <w:sz w:val="22"/>
                <w:szCs w:val="22"/>
              </w:rPr>
              <w:t xml:space="preserve"> sector climate risk capability uplift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3F495E">
            <w:pPr>
              <w:jc w:val="both"/>
              <w:rPr>
                <w:rFonts w:ascii="Arial" w:hAnsi="Arial" w:cs="Arial"/>
                <w:b/>
                <w:sz w:val="22"/>
                <w:szCs w:val="22"/>
              </w:rPr>
            </w:pPr>
          </w:p>
          <w:p w14:paraId="131A5F05" w14:textId="77777777" w:rsidR="0065012F" w:rsidRDefault="0065012F" w:rsidP="003F495E">
            <w:pPr>
              <w:jc w:val="both"/>
              <w:rPr>
                <w:rFonts w:ascii="Arial" w:hAnsi="Arial" w:cs="Arial"/>
                <w:b/>
                <w:sz w:val="22"/>
                <w:szCs w:val="22"/>
              </w:rPr>
            </w:pPr>
            <w:r w:rsidRPr="0065012F">
              <w:rPr>
                <w:rFonts w:ascii="Arial" w:hAnsi="Arial" w:cs="Arial"/>
                <w:b/>
                <w:sz w:val="22"/>
                <w:szCs w:val="22"/>
              </w:rPr>
              <w:t>Introduction</w:t>
            </w:r>
          </w:p>
          <w:p w14:paraId="1188AE86" w14:textId="77777777" w:rsidR="0013492D" w:rsidRDefault="0013492D" w:rsidP="0013492D">
            <w:pPr>
              <w:rPr>
                <w:rFonts w:ascii="Arial" w:hAnsi="Arial" w:cs="Arial"/>
                <w:sz w:val="22"/>
                <w:szCs w:val="22"/>
              </w:rPr>
            </w:pPr>
            <w:r w:rsidRPr="065BB540">
              <w:rPr>
                <w:rFonts w:ascii="Arial" w:hAnsi="Arial" w:cs="Arial"/>
                <w:sz w:val="22"/>
                <w:szCs w:val="22"/>
              </w:rPr>
              <w:t xml:space="preserve">The Government of Western Australia (WA) is building a more comprehensive climate adaptation response guided by the </w:t>
            </w:r>
            <w:r w:rsidRPr="065BB540">
              <w:rPr>
                <w:rFonts w:ascii="Arial" w:hAnsi="Arial" w:cs="Arial"/>
                <w:i/>
                <w:iCs/>
                <w:sz w:val="22"/>
                <w:szCs w:val="22"/>
              </w:rPr>
              <w:t>Climate Adaptation Strategy</w:t>
            </w:r>
            <w:r w:rsidRPr="065BB540">
              <w:rPr>
                <w:rFonts w:ascii="Arial" w:hAnsi="Arial" w:cs="Arial"/>
                <w:sz w:val="22"/>
                <w:szCs w:val="22"/>
              </w:rPr>
              <w:t xml:space="preserve"> (the Strategy) (2023). Building on the W</w:t>
            </w:r>
            <w:r w:rsidRPr="065BB540">
              <w:rPr>
                <w:rFonts w:ascii="Arial" w:hAnsi="Arial" w:cs="Arial"/>
                <w:i/>
                <w:iCs/>
                <w:sz w:val="22"/>
                <w:szCs w:val="22"/>
              </w:rPr>
              <w:t>estern Australian Climate Policy</w:t>
            </w:r>
            <w:r w:rsidRPr="065BB540">
              <w:rPr>
                <w:rFonts w:ascii="Arial" w:hAnsi="Arial" w:cs="Arial"/>
                <w:sz w:val="22"/>
                <w:szCs w:val="22"/>
              </w:rPr>
              <w:t xml:space="preserve"> (2020) and existing initiatives, the Strategy is supporting the Western Australian government, industries, cities and regions identify and manage climate impacts and enhance climate resilience.</w:t>
            </w:r>
          </w:p>
          <w:p w14:paraId="439C0859" w14:textId="77777777" w:rsidR="0013492D" w:rsidRDefault="0013492D" w:rsidP="0013492D">
            <w:pPr>
              <w:rPr>
                <w:rFonts w:ascii="Arial" w:hAnsi="Arial" w:cs="Arial"/>
                <w:sz w:val="22"/>
                <w:szCs w:val="22"/>
              </w:rPr>
            </w:pPr>
          </w:p>
          <w:p w14:paraId="53F9049D" w14:textId="77777777" w:rsidR="0013492D" w:rsidRPr="00451BC0" w:rsidRDefault="0013492D" w:rsidP="0013492D">
            <w:pPr>
              <w:rPr>
                <w:rFonts w:ascii="Arial" w:hAnsi="Arial" w:cs="Arial"/>
                <w:sz w:val="22"/>
                <w:szCs w:val="22"/>
              </w:rPr>
            </w:pPr>
            <w:r w:rsidRPr="065BB540">
              <w:rPr>
                <w:rFonts w:ascii="Arial" w:hAnsi="Arial" w:cs="Arial"/>
                <w:sz w:val="22"/>
                <w:szCs w:val="22"/>
              </w:rPr>
              <w:t>The Strategy was designed to address barriers to adoption of climate adaptation</w:t>
            </w:r>
            <w:r>
              <w:rPr>
                <w:rFonts w:ascii="Arial" w:hAnsi="Arial" w:cs="Arial"/>
                <w:sz w:val="22"/>
                <w:szCs w:val="22"/>
              </w:rPr>
              <w:t>,</w:t>
            </w:r>
            <w:r w:rsidRPr="065BB540">
              <w:rPr>
                <w:rFonts w:ascii="Arial" w:hAnsi="Arial" w:cs="Arial"/>
                <w:sz w:val="22"/>
                <w:szCs w:val="22"/>
              </w:rPr>
              <w:t xml:space="preserve"> identified through </w:t>
            </w:r>
            <w:r>
              <w:rPr>
                <w:rFonts w:ascii="Arial" w:hAnsi="Arial" w:cs="Arial"/>
                <w:sz w:val="22"/>
                <w:szCs w:val="22"/>
              </w:rPr>
              <w:t>targeted</w:t>
            </w:r>
            <w:r w:rsidRPr="065BB540">
              <w:rPr>
                <w:rFonts w:ascii="Arial" w:hAnsi="Arial" w:cs="Arial"/>
                <w:sz w:val="22"/>
                <w:szCs w:val="22"/>
              </w:rPr>
              <w:t xml:space="preserve"> consultation, and to deliver more effective enabling conditions. This paper provides an overview of key enabling adaptation programs, and insights based on two years of implementation, including case studies on: uplifting public sector climate risk capability; and </w:t>
            </w:r>
            <w:r>
              <w:rPr>
                <w:rFonts w:ascii="Arial" w:hAnsi="Arial" w:cs="Arial"/>
                <w:sz w:val="22"/>
                <w:szCs w:val="22"/>
              </w:rPr>
              <w:t>s</w:t>
            </w:r>
            <w:r w:rsidRPr="065BB540">
              <w:rPr>
                <w:rFonts w:ascii="Arial" w:hAnsi="Arial" w:cs="Arial"/>
                <w:sz w:val="22"/>
                <w:szCs w:val="22"/>
              </w:rPr>
              <w:t xml:space="preserve">ector </w:t>
            </w:r>
            <w:r>
              <w:rPr>
                <w:rFonts w:ascii="Arial" w:hAnsi="Arial" w:cs="Arial"/>
                <w:sz w:val="22"/>
                <w:szCs w:val="22"/>
              </w:rPr>
              <w:t>a</w:t>
            </w:r>
            <w:r w:rsidRPr="065BB540">
              <w:rPr>
                <w:rFonts w:ascii="Arial" w:hAnsi="Arial" w:cs="Arial"/>
                <w:sz w:val="22"/>
                <w:szCs w:val="22"/>
              </w:rPr>
              <w:t xml:space="preserve">daptation </w:t>
            </w:r>
            <w:r>
              <w:rPr>
                <w:rFonts w:ascii="Arial" w:hAnsi="Arial" w:cs="Arial"/>
                <w:sz w:val="22"/>
                <w:szCs w:val="22"/>
              </w:rPr>
              <w:t>p</w:t>
            </w:r>
            <w:r w:rsidRPr="065BB540">
              <w:rPr>
                <w:rFonts w:ascii="Arial" w:hAnsi="Arial" w:cs="Arial"/>
                <w:sz w:val="22"/>
                <w:szCs w:val="22"/>
              </w:rPr>
              <w:t>lanning.</w:t>
            </w:r>
          </w:p>
          <w:p w14:paraId="4806BFDB" w14:textId="77777777" w:rsidR="0065012F" w:rsidRDefault="0065012F" w:rsidP="003F495E">
            <w:pPr>
              <w:jc w:val="both"/>
              <w:rPr>
                <w:rFonts w:ascii="Arial" w:hAnsi="Arial" w:cs="Arial"/>
                <w:b/>
                <w:sz w:val="22"/>
                <w:szCs w:val="22"/>
              </w:rPr>
            </w:pPr>
          </w:p>
          <w:p w14:paraId="5DE13B32" w14:textId="77777777" w:rsidR="0065012F" w:rsidRDefault="0065012F" w:rsidP="003F495E">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EAD04D3" w14:textId="77777777" w:rsidR="00104529" w:rsidRDefault="00104529" w:rsidP="00104529">
            <w:pPr>
              <w:jc w:val="both"/>
              <w:rPr>
                <w:rFonts w:ascii="Arial" w:hAnsi="Arial" w:cs="Arial"/>
                <w:b/>
                <w:bCs/>
                <w:sz w:val="22"/>
                <w:szCs w:val="22"/>
              </w:rPr>
            </w:pPr>
            <w:r w:rsidRPr="065BB540">
              <w:rPr>
                <w:rFonts w:ascii="Arial" w:hAnsi="Arial" w:cs="Arial"/>
                <w:sz w:val="22"/>
                <w:szCs w:val="22"/>
              </w:rPr>
              <w:t xml:space="preserve">This paper will highlight progress in implementing the </w:t>
            </w:r>
            <w:r>
              <w:rPr>
                <w:rFonts w:ascii="Arial" w:hAnsi="Arial" w:cs="Arial"/>
                <w:sz w:val="22"/>
                <w:szCs w:val="22"/>
              </w:rPr>
              <w:t xml:space="preserve">WA Climate Adaptation </w:t>
            </w:r>
            <w:r w:rsidRPr="065BB540">
              <w:rPr>
                <w:rFonts w:ascii="Arial" w:hAnsi="Arial" w:cs="Arial"/>
                <w:sz w:val="22"/>
                <w:szCs w:val="22"/>
              </w:rPr>
              <w:t xml:space="preserve">Strategy, including how different adaptation actions are working together to create a coordinated and integrated climate adaptation program. </w:t>
            </w:r>
          </w:p>
          <w:p w14:paraId="7DF7D437" w14:textId="77777777" w:rsidR="0065012F" w:rsidRDefault="0065012F" w:rsidP="003F495E">
            <w:pPr>
              <w:jc w:val="both"/>
              <w:rPr>
                <w:rFonts w:ascii="Arial" w:hAnsi="Arial" w:cs="Arial"/>
                <w:b/>
                <w:sz w:val="22"/>
                <w:szCs w:val="22"/>
              </w:rPr>
            </w:pPr>
          </w:p>
          <w:p w14:paraId="457D2D05" w14:textId="4552866C" w:rsidR="0065012F" w:rsidRDefault="00906B39" w:rsidP="003F495E">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1DC2D04A" w14:textId="77777777" w:rsidR="001814CE" w:rsidRPr="006E24E0" w:rsidRDefault="001814CE" w:rsidP="001814CE">
            <w:pPr>
              <w:jc w:val="both"/>
              <w:rPr>
                <w:rFonts w:ascii="Arial" w:hAnsi="Arial" w:cs="Arial"/>
                <w:bCs/>
                <w:sz w:val="22"/>
                <w:szCs w:val="22"/>
              </w:rPr>
            </w:pPr>
            <w:r w:rsidRPr="006E24E0">
              <w:rPr>
                <w:rFonts w:ascii="Arial" w:hAnsi="Arial" w:cs="Arial"/>
                <w:bCs/>
                <w:sz w:val="22"/>
                <w:szCs w:val="22"/>
              </w:rPr>
              <w:t xml:space="preserve">An overview will be provided of key adaptation enabling programs, including </w:t>
            </w:r>
            <w:r w:rsidRPr="72510093">
              <w:rPr>
                <w:rFonts w:ascii="Arial" w:hAnsi="Arial" w:cs="Arial"/>
                <w:sz w:val="22"/>
                <w:szCs w:val="22"/>
              </w:rPr>
              <w:t xml:space="preserve">two </w:t>
            </w:r>
            <w:r w:rsidRPr="006E24E0">
              <w:rPr>
                <w:rFonts w:ascii="Arial" w:hAnsi="Arial" w:cs="Arial"/>
                <w:bCs/>
                <w:sz w:val="22"/>
                <w:szCs w:val="22"/>
              </w:rPr>
              <w:t>case studies on</w:t>
            </w:r>
            <w:r>
              <w:rPr>
                <w:rFonts w:ascii="Arial" w:hAnsi="Arial" w:cs="Arial"/>
                <w:bCs/>
                <w:sz w:val="22"/>
                <w:szCs w:val="22"/>
              </w:rPr>
              <w:t>:</w:t>
            </w:r>
            <w:r w:rsidRPr="006E24E0">
              <w:rPr>
                <w:rFonts w:ascii="Arial" w:hAnsi="Arial" w:cs="Arial"/>
                <w:bCs/>
                <w:sz w:val="22"/>
                <w:szCs w:val="22"/>
              </w:rPr>
              <w:t xml:space="preserve"> the ‘Climate Risk Capability Initiative’ </w:t>
            </w:r>
            <w:r w:rsidRPr="72510093">
              <w:rPr>
                <w:rFonts w:ascii="Arial" w:hAnsi="Arial" w:cs="Arial"/>
                <w:sz w:val="22"/>
                <w:szCs w:val="22"/>
              </w:rPr>
              <w:t xml:space="preserve">- a </w:t>
            </w:r>
            <w:r w:rsidRPr="006E24E0">
              <w:rPr>
                <w:rFonts w:ascii="Arial" w:hAnsi="Arial" w:cs="Arial"/>
                <w:bCs/>
                <w:sz w:val="22"/>
                <w:szCs w:val="22"/>
              </w:rPr>
              <w:t xml:space="preserve">program </w:t>
            </w:r>
            <w:r w:rsidRPr="72510093">
              <w:rPr>
                <w:rFonts w:ascii="Arial" w:hAnsi="Arial" w:cs="Arial"/>
                <w:sz w:val="22"/>
                <w:szCs w:val="22"/>
              </w:rPr>
              <w:t>by the Government of WA and managed by D</w:t>
            </w:r>
            <w:r>
              <w:rPr>
                <w:rFonts w:ascii="Arial" w:hAnsi="Arial" w:cs="Arial"/>
                <w:sz w:val="22"/>
                <w:szCs w:val="22"/>
              </w:rPr>
              <w:t xml:space="preserve">epartment of </w:t>
            </w:r>
            <w:r w:rsidRPr="72510093">
              <w:rPr>
                <w:rFonts w:ascii="Arial" w:hAnsi="Arial" w:cs="Arial"/>
                <w:sz w:val="22"/>
                <w:szCs w:val="22"/>
              </w:rPr>
              <w:t>W</w:t>
            </w:r>
            <w:r>
              <w:rPr>
                <w:rFonts w:ascii="Arial" w:hAnsi="Arial" w:cs="Arial"/>
                <w:sz w:val="22"/>
                <w:szCs w:val="22"/>
              </w:rPr>
              <w:t xml:space="preserve">ater and </w:t>
            </w:r>
            <w:r w:rsidRPr="72510093">
              <w:rPr>
                <w:rFonts w:ascii="Arial" w:hAnsi="Arial" w:cs="Arial"/>
                <w:sz w:val="22"/>
                <w:szCs w:val="22"/>
              </w:rPr>
              <w:t>E</w:t>
            </w:r>
            <w:r>
              <w:rPr>
                <w:rFonts w:ascii="Arial" w:hAnsi="Arial" w:cs="Arial"/>
                <w:sz w:val="22"/>
                <w:szCs w:val="22"/>
              </w:rPr>
              <w:t xml:space="preserve">nvironmental </w:t>
            </w:r>
            <w:r w:rsidRPr="72510093">
              <w:rPr>
                <w:rFonts w:ascii="Arial" w:hAnsi="Arial" w:cs="Arial"/>
                <w:sz w:val="22"/>
                <w:szCs w:val="22"/>
              </w:rPr>
              <w:t>R</w:t>
            </w:r>
            <w:r>
              <w:rPr>
                <w:rFonts w:ascii="Arial" w:hAnsi="Arial" w:cs="Arial"/>
                <w:sz w:val="22"/>
                <w:szCs w:val="22"/>
              </w:rPr>
              <w:t>egulation</w:t>
            </w:r>
            <w:r w:rsidRPr="72510093">
              <w:rPr>
                <w:rFonts w:ascii="Arial" w:hAnsi="Arial" w:cs="Arial"/>
                <w:sz w:val="22"/>
                <w:szCs w:val="22"/>
              </w:rPr>
              <w:t xml:space="preserve"> to enhance the climate risk and</w:t>
            </w:r>
            <w:r w:rsidRPr="006E24E0">
              <w:rPr>
                <w:rFonts w:ascii="Arial" w:hAnsi="Arial" w:cs="Arial"/>
                <w:bCs/>
                <w:sz w:val="22"/>
                <w:szCs w:val="22"/>
              </w:rPr>
              <w:t xml:space="preserve"> adaptation capability of the public sector; and the ‘Sector Adaptation Plan’ program to deliver, through consultation with sector stakeholders, Sector Adaptation Plans</w:t>
            </w:r>
            <w:r>
              <w:rPr>
                <w:rFonts w:ascii="Arial" w:hAnsi="Arial" w:cs="Arial"/>
                <w:bCs/>
                <w:sz w:val="22"/>
                <w:szCs w:val="22"/>
              </w:rPr>
              <w:t xml:space="preserve"> for priority sectors</w:t>
            </w:r>
            <w:r w:rsidRPr="006E24E0">
              <w:rPr>
                <w:rFonts w:ascii="Arial" w:hAnsi="Arial" w:cs="Arial"/>
                <w:bCs/>
                <w:sz w:val="22"/>
                <w:szCs w:val="22"/>
              </w:rPr>
              <w:t>.</w:t>
            </w:r>
            <w:r>
              <w:rPr>
                <w:rFonts w:ascii="Arial" w:hAnsi="Arial" w:cs="Arial"/>
                <w:bCs/>
                <w:sz w:val="22"/>
                <w:szCs w:val="22"/>
              </w:rPr>
              <w:t xml:space="preserve"> </w:t>
            </w:r>
          </w:p>
          <w:p w14:paraId="015EFC6C" w14:textId="77777777" w:rsidR="0065012F" w:rsidRDefault="0065012F" w:rsidP="003F495E">
            <w:pPr>
              <w:jc w:val="both"/>
              <w:rPr>
                <w:rFonts w:ascii="Arial" w:hAnsi="Arial" w:cs="Arial"/>
                <w:b/>
                <w:sz w:val="22"/>
                <w:szCs w:val="22"/>
              </w:rPr>
            </w:pPr>
          </w:p>
          <w:p w14:paraId="62DAA8AE" w14:textId="77777777" w:rsidR="0065012F" w:rsidRDefault="0065012F" w:rsidP="003F495E">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37CECD1F" w14:textId="77777777" w:rsidR="003D66DF" w:rsidRDefault="003D66DF" w:rsidP="003D66DF">
            <w:pPr>
              <w:rPr>
                <w:rFonts w:ascii="Arial" w:eastAsia="Arial" w:hAnsi="Arial" w:cs="Arial"/>
                <w:sz w:val="22"/>
                <w:szCs w:val="22"/>
              </w:rPr>
            </w:pPr>
            <w:r w:rsidRPr="065BB540">
              <w:rPr>
                <w:rFonts w:ascii="Arial" w:eastAsia="Arial" w:hAnsi="Arial" w:cs="Arial"/>
                <w:sz w:val="22"/>
                <w:szCs w:val="22"/>
              </w:rPr>
              <w:t xml:space="preserve">The presentation will explore case study insights, challenges faced, and lessons learned in the journey towards building a more resilient future for Western Australia. Initial findings </w:t>
            </w:r>
            <w:r>
              <w:rPr>
                <w:rFonts w:ascii="Arial" w:eastAsia="Arial" w:hAnsi="Arial" w:cs="Arial"/>
                <w:sz w:val="22"/>
                <w:szCs w:val="22"/>
              </w:rPr>
              <w:t>include</w:t>
            </w:r>
            <w:r w:rsidRPr="065BB540">
              <w:rPr>
                <w:rFonts w:ascii="Arial" w:eastAsia="Arial" w:hAnsi="Arial" w:cs="Arial"/>
                <w:sz w:val="22"/>
                <w:szCs w:val="22"/>
              </w:rPr>
              <w:t xml:space="preserve"> that the Climate Risk Capability Initiative has successfully created capability uplift in public sector agencies, based on broad positive appraisals from agency representatives. The associated training workshops and tools developed have been well received, while also identifying where challenges and barriers still exist. </w:t>
            </w:r>
            <w:r>
              <w:rPr>
                <w:rFonts w:ascii="Arial" w:eastAsia="Arial" w:hAnsi="Arial" w:cs="Arial"/>
                <w:sz w:val="22"/>
                <w:szCs w:val="22"/>
              </w:rPr>
              <w:t xml:space="preserve">The presentation notes </w:t>
            </w:r>
            <w:r w:rsidRPr="065BB540">
              <w:rPr>
                <w:rFonts w:ascii="Arial" w:eastAsia="Arial" w:hAnsi="Arial" w:cs="Arial"/>
                <w:sz w:val="22"/>
                <w:szCs w:val="22"/>
              </w:rPr>
              <w:t>the evolving demand regarding training topics, as agencies’ climate risk maturity increases</w:t>
            </w:r>
            <w:r>
              <w:rPr>
                <w:rFonts w:ascii="Arial" w:eastAsia="Arial" w:hAnsi="Arial" w:cs="Arial"/>
                <w:sz w:val="22"/>
                <w:szCs w:val="22"/>
              </w:rPr>
              <w:t>;</w:t>
            </w:r>
            <w:r w:rsidRPr="065BB540">
              <w:rPr>
                <w:rFonts w:ascii="Arial" w:eastAsia="Arial" w:hAnsi="Arial" w:cs="Arial"/>
                <w:sz w:val="22"/>
                <w:szCs w:val="22"/>
              </w:rPr>
              <w:t xml:space="preserve"> </w:t>
            </w:r>
            <w:r>
              <w:rPr>
                <w:rFonts w:ascii="Arial" w:eastAsia="Arial" w:hAnsi="Arial" w:cs="Arial"/>
                <w:sz w:val="22"/>
                <w:szCs w:val="22"/>
              </w:rPr>
              <w:t>how to support agency self-assessments of climate risk maturity, and lessons in supporting</w:t>
            </w:r>
            <w:r w:rsidRPr="065BB540">
              <w:rPr>
                <w:rFonts w:ascii="Arial" w:eastAsia="Arial" w:hAnsi="Arial" w:cs="Arial"/>
                <w:sz w:val="22"/>
                <w:szCs w:val="22"/>
              </w:rPr>
              <w:t xml:space="preserve"> </w:t>
            </w:r>
            <w:r>
              <w:rPr>
                <w:rFonts w:ascii="Arial" w:eastAsia="Arial" w:hAnsi="Arial" w:cs="Arial"/>
                <w:sz w:val="22"/>
                <w:szCs w:val="22"/>
              </w:rPr>
              <w:t xml:space="preserve">climate risk </w:t>
            </w:r>
            <w:r w:rsidRPr="065BB540">
              <w:rPr>
                <w:rFonts w:ascii="Arial" w:eastAsia="Arial" w:hAnsi="Arial" w:cs="Arial"/>
                <w:sz w:val="22"/>
                <w:szCs w:val="22"/>
              </w:rPr>
              <w:t>communities</w:t>
            </w:r>
            <w:r>
              <w:rPr>
                <w:rFonts w:ascii="Arial" w:eastAsia="Arial" w:hAnsi="Arial" w:cs="Arial"/>
                <w:sz w:val="22"/>
                <w:szCs w:val="22"/>
              </w:rPr>
              <w:t xml:space="preserve"> of practice</w:t>
            </w:r>
            <w:r w:rsidRPr="065BB540">
              <w:rPr>
                <w:rFonts w:ascii="Arial" w:eastAsia="Arial" w:hAnsi="Arial" w:cs="Arial"/>
                <w:sz w:val="22"/>
                <w:szCs w:val="22"/>
              </w:rPr>
              <w:t xml:space="preserve">. </w:t>
            </w:r>
          </w:p>
          <w:p w14:paraId="139FDF74" w14:textId="77777777" w:rsidR="003D66DF" w:rsidRDefault="003D66DF" w:rsidP="003D66DF">
            <w:pPr>
              <w:rPr>
                <w:rFonts w:ascii="Arial" w:eastAsia="Arial" w:hAnsi="Arial" w:cs="Arial"/>
                <w:sz w:val="22"/>
                <w:szCs w:val="22"/>
              </w:rPr>
            </w:pPr>
          </w:p>
          <w:p w14:paraId="774C19AA" w14:textId="77777777" w:rsidR="003D66DF" w:rsidRDefault="003D66DF" w:rsidP="003D66DF">
            <w:pPr>
              <w:rPr>
                <w:rFonts w:ascii="Arial" w:eastAsia="Arial" w:hAnsi="Arial" w:cs="Arial"/>
                <w:sz w:val="22"/>
                <w:szCs w:val="22"/>
              </w:rPr>
            </w:pPr>
            <w:r w:rsidRPr="065BB540">
              <w:rPr>
                <w:rFonts w:ascii="Arial" w:eastAsia="Arial" w:hAnsi="Arial" w:cs="Arial"/>
                <w:sz w:val="22"/>
                <w:szCs w:val="22"/>
              </w:rPr>
              <w:t xml:space="preserve">The Sector Adaptation Plan (SAP) program, while still in its first cycle, has provided early insights. These include: </w:t>
            </w:r>
          </w:p>
          <w:p w14:paraId="3D817543" w14:textId="77777777" w:rsidR="003D66DF" w:rsidRDefault="003D66DF" w:rsidP="003D66DF">
            <w:pPr>
              <w:rPr>
                <w:rFonts w:ascii="Arial" w:eastAsia="Arial" w:hAnsi="Arial" w:cs="Arial"/>
                <w:sz w:val="22"/>
                <w:szCs w:val="22"/>
              </w:rPr>
            </w:pPr>
            <w:r w:rsidRPr="065BB540">
              <w:rPr>
                <w:rFonts w:ascii="Arial" w:eastAsia="Arial" w:hAnsi="Arial" w:cs="Arial"/>
                <w:sz w:val="22"/>
                <w:szCs w:val="22"/>
              </w:rPr>
              <w:t xml:space="preserve">a) early engagement with sector stakeholders is important for ensuring effective participation and support for SAP objectives and gaining commitment to engage in a collaborative process to assess and address sector specific </w:t>
            </w:r>
            <w:proofErr w:type="gramStart"/>
            <w:r w:rsidRPr="065BB540">
              <w:rPr>
                <w:rFonts w:ascii="Arial" w:eastAsia="Arial" w:hAnsi="Arial" w:cs="Arial"/>
                <w:sz w:val="22"/>
                <w:szCs w:val="22"/>
              </w:rPr>
              <w:t>risks;</w:t>
            </w:r>
            <w:proofErr w:type="gramEnd"/>
            <w:r w:rsidRPr="065BB540">
              <w:rPr>
                <w:rFonts w:ascii="Arial" w:eastAsia="Arial" w:hAnsi="Arial" w:cs="Arial"/>
                <w:sz w:val="22"/>
                <w:szCs w:val="22"/>
              </w:rPr>
              <w:t xml:space="preserve"> </w:t>
            </w:r>
          </w:p>
          <w:p w14:paraId="2A7C5166" w14:textId="77777777" w:rsidR="003D66DF" w:rsidRDefault="003D66DF" w:rsidP="003D66DF">
            <w:pPr>
              <w:rPr>
                <w:rFonts w:ascii="Arial" w:eastAsia="Arial" w:hAnsi="Arial" w:cs="Arial"/>
                <w:sz w:val="22"/>
                <w:szCs w:val="22"/>
              </w:rPr>
            </w:pPr>
            <w:r w:rsidRPr="065BB540">
              <w:rPr>
                <w:rFonts w:ascii="Arial" w:eastAsia="Arial" w:hAnsi="Arial" w:cs="Arial"/>
                <w:sz w:val="22"/>
                <w:szCs w:val="22"/>
              </w:rPr>
              <w:lastRenderedPageBreak/>
              <w:t xml:space="preserve">b) our analysis identified a limited availability of international guidance on the development of sectoral-scale adaptation plans; </w:t>
            </w:r>
            <w:r>
              <w:rPr>
                <w:rFonts w:ascii="Arial" w:eastAsia="Arial" w:hAnsi="Arial" w:cs="Arial"/>
                <w:sz w:val="22"/>
                <w:szCs w:val="22"/>
              </w:rPr>
              <w:t>and</w:t>
            </w:r>
          </w:p>
          <w:p w14:paraId="7E4B8985" w14:textId="77777777" w:rsidR="003D66DF" w:rsidRDefault="003D66DF" w:rsidP="003D66DF">
            <w:pPr>
              <w:rPr>
                <w:rFonts w:ascii="Arial" w:eastAsia="Arial" w:hAnsi="Arial" w:cs="Arial"/>
                <w:sz w:val="22"/>
                <w:szCs w:val="22"/>
              </w:rPr>
            </w:pPr>
            <w:r w:rsidRPr="065BB540">
              <w:rPr>
                <w:rFonts w:ascii="Arial" w:eastAsia="Arial" w:hAnsi="Arial" w:cs="Arial"/>
                <w:sz w:val="22"/>
                <w:szCs w:val="22"/>
              </w:rPr>
              <w:t xml:space="preserve">c) while climate risk and vulnerability assessments are important tools to support SAP development, additional processes, and governance arrangements are needed to ensure cross-sector interdependencies, risks and opportunities are addressed. </w:t>
            </w:r>
          </w:p>
          <w:p w14:paraId="26DC99F1" w14:textId="77777777" w:rsidR="0065012F" w:rsidRDefault="0065012F" w:rsidP="003F495E">
            <w:pPr>
              <w:jc w:val="both"/>
              <w:rPr>
                <w:rFonts w:ascii="Arial" w:hAnsi="Arial" w:cs="Arial"/>
                <w:b/>
                <w:sz w:val="22"/>
                <w:szCs w:val="22"/>
              </w:rPr>
            </w:pPr>
          </w:p>
          <w:p w14:paraId="261EC656" w14:textId="2669F05C" w:rsidR="00C8423A" w:rsidRDefault="0065012F" w:rsidP="003F495E">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4CAE5A6" w14:textId="77777777" w:rsidR="00FE328A" w:rsidRPr="00C34651" w:rsidRDefault="00FE328A" w:rsidP="00FE328A">
            <w:pPr>
              <w:jc w:val="both"/>
              <w:rPr>
                <w:rFonts w:ascii="Arial" w:hAnsi="Arial" w:cs="Arial"/>
                <w:bCs/>
                <w:sz w:val="22"/>
                <w:szCs w:val="22"/>
              </w:rPr>
            </w:pPr>
            <w:r w:rsidRPr="00C34651">
              <w:rPr>
                <w:rFonts w:ascii="Arial" w:hAnsi="Arial" w:cs="Arial"/>
                <w:bCs/>
                <w:sz w:val="22"/>
                <w:szCs w:val="22"/>
              </w:rPr>
              <w:t xml:space="preserve">This paper </w:t>
            </w:r>
            <w:r>
              <w:rPr>
                <w:rFonts w:ascii="Arial" w:hAnsi="Arial" w:cs="Arial"/>
                <w:bCs/>
                <w:sz w:val="22"/>
                <w:szCs w:val="22"/>
              </w:rPr>
              <w:t>provides an overview of the WA Government’s climate adaptation response, and resulting insights, including from key adaptation enabling programs, that may support the design and improvement of other government’s on-going change management processes to support accelerated adaptation action.</w:t>
            </w:r>
          </w:p>
          <w:p w14:paraId="1A078683" w14:textId="77777777" w:rsidR="00BE58D6" w:rsidRDefault="00BE58D6" w:rsidP="003F495E">
            <w:pPr>
              <w:jc w:val="both"/>
              <w:rPr>
                <w:rFonts w:ascii="Arial" w:hAnsi="Arial" w:cs="Arial"/>
                <w:b/>
                <w:sz w:val="22"/>
                <w:szCs w:val="22"/>
              </w:rPr>
            </w:pPr>
          </w:p>
          <w:p w14:paraId="39AA1BB4" w14:textId="77777777" w:rsidR="00BE58D6" w:rsidRDefault="00BE58D6" w:rsidP="003F495E">
            <w:pPr>
              <w:jc w:val="both"/>
              <w:rPr>
                <w:rFonts w:ascii="Arial" w:hAnsi="Arial" w:cs="Arial"/>
                <w:b/>
                <w:sz w:val="22"/>
                <w:szCs w:val="22"/>
              </w:rPr>
            </w:pPr>
          </w:p>
          <w:p w14:paraId="2CBAECD6" w14:textId="729DADBB" w:rsidR="009F4EA0" w:rsidRPr="000D7047" w:rsidRDefault="009F4EA0" w:rsidP="003F495E">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headerReference w:type="even"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A02D" w14:textId="77777777" w:rsidR="00164960" w:rsidRDefault="00164960" w:rsidP="00164960">
      <w:r>
        <w:separator/>
      </w:r>
    </w:p>
  </w:endnote>
  <w:endnote w:type="continuationSeparator" w:id="0">
    <w:p w14:paraId="0C9B41D7" w14:textId="77777777" w:rsidR="00164960" w:rsidRDefault="00164960" w:rsidP="00164960">
      <w:r>
        <w:continuationSeparator/>
      </w:r>
    </w:p>
  </w:endnote>
  <w:endnote w:type="continuationNotice" w:id="1">
    <w:p w14:paraId="29E3262C" w14:textId="77777777" w:rsidR="00164960" w:rsidRDefault="00164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514A" w14:textId="77777777" w:rsidR="00164960" w:rsidRDefault="00164960" w:rsidP="00164960">
      <w:r>
        <w:separator/>
      </w:r>
    </w:p>
  </w:footnote>
  <w:footnote w:type="continuationSeparator" w:id="0">
    <w:p w14:paraId="0ABA2A46" w14:textId="77777777" w:rsidR="00164960" w:rsidRDefault="00164960" w:rsidP="00164960">
      <w:r>
        <w:continuationSeparator/>
      </w:r>
    </w:p>
  </w:footnote>
  <w:footnote w:type="continuationNotice" w:id="1">
    <w:p w14:paraId="15791082" w14:textId="77777777" w:rsidR="00164960" w:rsidRDefault="00164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4CEC" w14:textId="25E64CB9" w:rsidR="00164960" w:rsidRDefault="00EA33DE">
    <w:pPr>
      <w:pStyle w:val="Header"/>
    </w:pPr>
    <w:r>
      <w:rPr>
        <w:noProof/>
      </w:rPr>
      <mc:AlternateContent>
        <mc:Choice Requires="wps">
          <w:drawing>
            <wp:anchor distT="0" distB="0" distL="0" distR="0" simplePos="0" relativeHeight="251658240" behindDoc="0" locked="0" layoutInCell="1" allowOverlap="1" wp14:anchorId="0F1A0DB5" wp14:editId="3F8C05C0">
              <wp:simplePos x="635" y="635"/>
              <wp:positionH relativeFrom="page">
                <wp:align>center</wp:align>
              </wp:positionH>
              <wp:positionV relativeFrom="page">
                <wp:align>top</wp:align>
              </wp:positionV>
              <wp:extent cx="457200" cy="333375"/>
              <wp:effectExtent l="0" t="0" r="0" b="9525"/>
              <wp:wrapNone/>
              <wp:docPr id="21426820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31AE1C9B" w14:textId="7F8C2C4A" w:rsidR="00EA33DE" w:rsidRPr="00EA33DE" w:rsidRDefault="00EA33DE" w:rsidP="00EA33DE">
                          <w:pPr>
                            <w:rPr>
                              <w:rFonts w:ascii="Calibri" w:eastAsia="Calibri" w:hAnsi="Calibri" w:cs="Calibri"/>
                              <w:noProof/>
                              <w:color w:val="FF0000"/>
                              <w:sz w:val="20"/>
                              <w:szCs w:val="20"/>
                            </w:rPr>
                          </w:pPr>
                          <w:r w:rsidRPr="00EA33D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A0DB5" id="_x0000_t202" coordsize="21600,21600" o:spt="202" path="m,l,21600r21600,l21600,xe">
              <v:stroke joinstyle="miter"/>
              <v:path gradientshapeok="t" o:connecttype="rect"/>
            </v:shapetype>
            <v:shape id="Text Box 2" o:spid="_x0000_s1026" type="#_x0000_t202" alt="OFFICIAL" style="position:absolute;margin-left:0;margin-top:0;width:36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" filled="f" stroked="f">
              <v:textbox style="mso-fit-shape-to-text:t" inset="0,15pt,0,0">
                <w:txbxContent>
                  <w:p w14:paraId="31AE1C9B" w14:textId="7F8C2C4A" w:rsidR="00EA33DE" w:rsidRPr="00EA33DE" w:rsidRDefault="00EA33DE" w:rsidP="00EA33DE">
                    <w:pPr>
                      <w:rPr>
                        <w:rFonts w:ascii="Calibri" w:eastAsia="Calibri" w:hAnsi="Calibri" w:cs="Calibri"/>
                        <w:noProof/>
                        <w:color w:val="FF0000"/>
                        <w:sz w:val="20"/>
                        <w:szCs w:val="20"/>
                      </w:rPr>
                    </w:pPr>
                    <w:r w:rsidRPr="00EA33DE">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F617" w14:textId="0415ACDF" w:rsidR="00164960" w:rsidRDefault="00EA33DE">
    <w:pPr>
      <w:pStyle w:val="Header"/>
    </w:pPr>
    <w:r>
      <w:rPr>
        <w:noProof/>
      </w:rPr>
      <mc:AlternateContent>
        <mc:Choice Requires="wps">
          <w:drawing>
            <wp:anchor distT="0" distB="0" distL="0" distR="0" simplePos="0" relativeHeight="251658242" behindDoc="0" locked="0" layoutInCell="1" allowOverlap="1" wp14:anchorId="4E95A67A" wp14:editId="792F97C1">
              <wp:simplePos x="635" y="635"/>
              <wp:positionH relativeFrom="page">
                <wp:align>center</wp:align>
              </wp:positionH>
              <wp:positionV relativeFrom="page">
                <wp:align>top</wp:align>
              </wp:positionV>
              <wp:extent cx="457200" cy="333375"/>
              <wp:effectExtent l="0" t="0" r="0" b="9525"/>
              <wp:wrapNone/>
              <wp:docPr id="7980598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084087D" w14:textId="644654C9" w:rsidR="00EA33DE" w:rsidRPr="00EA33DE" w:rsidRDefault="00EA33DE" w:rsidP="00EA33DE">
                          <w:pPr>
                            <w:rPr>
                              <w:rFonts w:ascii="Calibri" w:eastAsia="Calibri" w:hAnsi="Calibri" w:cs="Calibri"/>
                              <w:noProof/>
                              <w:color w:val="FF0000"/>
                              <w:sz w:val="20"/>
                              <w:szCs w:val="20"/>
                            </w:rPr>
                          </w:pPr>
                          <w:r w:rsidRPr="00EA33D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5A67A" id="_x0000_t202" coordsize="21600,21600" o:spt="202" path="m,l,21600r21600,l21600,xe">
              <v:stroke joinstyle="miter"/>
              <v:path gradientshapeok="t" o:connecttype="rect"/>
            </v:shapetype>
            <v:shape id="Text Box 1" o:spid="_x0000_s1028" type="#_x0000_t202" alt="OFFICIAL" style="position:absolute;margin-left:0;margin-top:0;width:36pt;height:26.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DqlvqaDAIAABwEAAAO&#10;AAAAAAAAAAAAAAAAAC4CAABkcnMvZTJvRG9jLnhtbFBLAQItABQABgAIAAAAIQAI7NAu2QAAAAMB&#10;AAAPAAAAAAAAAAAAAAAAAGYEAABkcnMvZG93bnJldi54bWxQSwUGAAAAAAQABADzAAAAbAUAAAAA&#10;" filled="f" stroked="f">
              <v:textbox style="mso-fit-shape-to-text:t" inset="0,15pt,0,0">
                <w:txbxContent>
                  <w:p w14:paraId="0084087D" w14:textId="644654C9" w:rsidR="00EA33DE" w:rsidRPr="00EA33DE" w:rsidRDefault="00EA33DE" w:rsidP="00EA33DE">
                    <w:pPr>
                      <w:rPr>
                        <w:rFonts w:ascii="Calibri" w:eastAsia="Calibri" w:hAnsi="Calibri" w:cs="Calibri"/>
                        <w:noProof/>
                        <w:color w:val="FF0000"/>
                        <w:sz w:val="20"/>
                        <w:szCs w:val="20"/>
                      </w:rPr>
                    </w:pPr>
                    <w:r w:rsidRPr="00EA33DE">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C21AB"/>
    <w:rsid w:val="00104529"/>
    <w:rsid w:val="00105E39"/>
    <w:rsid w:val="00132AE5"/>
    <w:rsid w:val="0013492D"/>
    <w:rsid w:val="00155315"/>
    <w:rsid w:val="00160FDF"/>
    <w:rsid w:val="00164960"/>
    <w:rsid w:val="001814CE"/>
    <w:rsid w:val="00247C60"/>
    <w:rsid w:val="00256963"/>
    <w:rsid w:val="002E3AA3"/>
    <w:rsid w:val="00317356"/>
    <w:rsid w:val="0034503D"/>
    <w:rsid w:val="00354C31"/>
    <w:rsid w:val="00375B20"/>
    <w:rsid w:val="00386D01"/>
    <w:rsid w:val="003D66DF"/>
    <w:rsid w:val="003F495E"/>
    <w:rsid w:val="004049E7"/>
    <w:rsid w:val="00462B90"/>
    <w:rsid w:val="004828A0"/>
    <w:rsid w:val="004B69C7"/>
    <w:rsid w:val="004D193B"/>
    <w:rsid w:val="004D6AE6"/>
    <w:rsid w:val="004F4CE8"/>
    <w:rsid w:val="004F5C81"/>
    <w:rsid w:val="0053222C"/>
    <w:rsid w:val="00534375"/>
    <w:rsid w:val="005469BD"/>
    <w:rsid w:val="00550B17"/>
    <w:rsid w:val="00556C96"/>
    <w:rsid w:val="005854B8"/>
    <w:rsid w:val="0065012F"/>
    <w:rsid w:val="0068043B"/>
    <w:rsid w:val="00681CA7"/>
    <w:rsid w:val="007D4633"/>
    <w:rsid w:val="008235E8"/>
    <w:rsid w:val="008617E0"/>
    <w:rsid w:val="008773DF"/>
    <w:rsid w:val="008B01BA"/>
    <w:rsid w:val="008B50A0"/>
    <w:rsid w:val="008C0C35"/>
    <w:rsid w:val="008C22AD"/>
    <w:rsid w:val="008C2633"/>
    <w:rsid w:val="008E3D8D"/>
    <w:rsid w:val="008F2F93"/>
    <w:rsid w:val="008F6132"/>
    <w:rsid w:val="009010B0"/>
    <w:rsid w:val="00904288"/>
    <w:rsid w:val="00906B39"/>
    <w:rsid w:val="00963443"/>
    <w:rsid w:val="009C374A"/>
    <w:rsid w:val="009F4EA0"/>
    <w:rsid w:val="00B026E8"/>
    <w:rsid w:val="00B20DF5"/>
    <w:rsid w:val="00BA0872"/>
    <w:rsid w:val="00BA26BB"/>
    <w:rsid w:val="00BC6810"/>
    <w:rsid w:val="00BE0B4D"/>
    <w:rsid w:val="00BE58D6"/>
    <w:rsid w:val="00C26081"/>
    <w:rsid w:val="00C4126D"/>
    <w:rsid w:val="00C76C99"/>
    <w:rsid w:val="00C8423A"/>
    <w:rsid w:val="00CE53FE"/>
    <w:rsid w:val="00D716AD"/>
    <w:rsid w:val="00D867F1"/>
    <w:rsid w:val="00D9237B"/>
    <w:rsid w:val="00DB7929"/>
    <w:rsid w:val="00DD1BB3"/>
    <w:rsid w:val="00E56DC9"/>
    <w:rsid w:val="00E612FF"/>
    <w:rsid w:val="00EA33DE"/>
    <w:rsid w:val="00EB1B31"/>
    <w:rsid w:val="00F818D6"/>
    <w:rsid w:val="00FA372B"/>
    <w:rsid w:val="00FE328A"/>
    <w:rsid w:val="2247E2F4"/>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76843"/>
  <w15:chartTrackingRefBased/>
  <w15:docId w15:val="{33BE52E7-E0D0-46CD-9866-8E04C707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164960"/>
    <w:pPr>
      <w:tabs>
        <w:tab w:val="center" w:pos="4513"/>
        <w:tab w:val="right" w:pos="9026"/>
      </w:tabs>
    </w:pPr>
  </w:style>
  <w:style w:type="character" w:customStyle="1" w:styleId="HeaderChar">
    <w:name w:val="Header Char"/>
    <w:basedOn w:val="DefaultParagraphFont"/>
    <w:link w:val="Header"/>
    <w:uiPriority w:val="99"/>
    <w:rsid w:val="00164960"/>
  </w:style>
  <w:style w:type="paragraph" w:styleId="Footer">
    <w:name w:val="footer"/>
    <w:basedOn w:val="Normal"/>
    <w:link w:val="FooterChar"/>
    <w:uiPriority w:val="99"/>
    <w:unhideWhenUsed/>
    <w:rsid w:val="00534375"/>
    <w:pPr>
      <w:tabs>
        <w:tab w:val="center" w:pos="4680"/>
        <w:tab w:val="right" w:pos="9360"/>
      </w:tabs>
    </w:pPr>
  </w:style>
  <w:style w:type="character" w:customStyle="1" w:styleId="FooterChar">
    <w:name w:val="Footer Char"/>
    <w:basedOn w:val="DefaultParagraphFont"/>
    <w:link w:val="Footer"/>
    <w:uiPriority w:val="99"/>
    <w:rsid w:val="0016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 ds:uri="f0de145d-9a19-4bdd-b7cc-d83efd76a2ac"/>
    <ds:schemaRef ds:uri="41b3ab49-501d-412a-94b0-25099174812e"/>
  </ds:schemaRefs>
</ds:datastoreItem>
</file>

<file path=customXml/itemProps3.xml><?xml version="1.0" encoding="utf-8"?>
<ds:datastoreItem xmlns:ds="http://schemas.openxmlformats.org/officeDocument/2006/customXml" ds:itemID="{D045EEAB-2DC7-4228-88FB-D1674C1EE130}"/>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3068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2025-03-13T01:53:00Z</dcterms:created>
  <dcterms:modified xsi:type="dcterms:W3CDTF">2025-08-09T19:51:00Z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2f916d31,7fb6bbab,6ac38fba</vt:lpwstr>
  </property>
  <property fmtid="{D5CDD505-2E9C-101B-9397-08002B2CF9AE}" pid="5" name="ClassificationContentMarkingHeaderFontProps">
    <vt:lpwstr>#ff0000,10,Calibri</vt:lpwstr>
  </property>
  <property fmtid="{D5CDD505-2E9C-101B-9397-08002B2CF9AE}" pid="6" name="ClassificationContentMarkingHeaderText">
    <vt:lpwstr>OFFICIAL</vt:lpwstr>
  </property>
  <property fmtid="{D5CDD505-2E9C-101B-9397-08002B2CF9AE}" pid="7" name="MSIP_Label_8e7b4816-525d-4976-93bd-bcb06a9c224c_Enabled">
    <vt:lpwstr>true</vt:lpwstr>
  </property>
  <property fmtid="{D5CDD505-2E9C-101B-9397-08002B2CF9AE}" pid="8" name="MSIP_Label_8e7b4816-525d-4976-93bd-bcb06a9c224c_SetDate">
    <vt:lpwstr>2025-03-13T01:52:19Z</vt:lpwstr>
  </property>
  <property fmtid="{D5CDD505-2E9C-101B-9397-08002B2CF9AE}" pid="9" name="MSIP_Label_8e7b4816-525d-4976-93bd-bcb06a9c224c_Method">
    <vt:lpwstr>Standard</vt:lpwstr>
  </property>
  <property fmtid="{D5CDD505-2E9C-101B-9397-08002B2CF9AE}" pid="10" name="MSIP_Label_8e7b4816-525d-4976-93bd-bcb06a9c224c_Name">
    <vt:lpwstr>Official</vt:lpwstr>
  </property>
  <property fmtid="{D5CDD505-2E9C-101B-9397-08002B2CF9AE}" pid="11" name="MSIP_Label_8e7b4816-525d-4976-93bd-bcb06a9c224c_SiteId">
    <vt:lpwstr>53ebe217-aa1e-46fe-b88e-9d762dec2ef6</vt:lpwstr>
  </property>
  <property fmtid="{D5CDD505-2E9C-101B-9397-08002B2CF9AE}" pid="12" name="MSIP_Label_8e7b4816-525d-4976-93bd-bcb06a9c224c_ActionId">
    <vt:lpwstr>47cd1250-d63f-474f-83fc-560dda140390</vt:lpwstr>
  </property>
  <property fmtid="{D5CDD505-2E9C-101B-9397-08002B2CF9AE}" pid="13" name="MSIP_Label_8e7b4816-525d-4976-93bd-bcb06a9c224c_ContentBits">
    <vt:lpwstr>1</vt:lpwstr>
  </property>
  <property fmtid="{D5CDD505-2E9C-101B-9397-08002B2CF9AE}" pid="14" name="MSIP_Label_8e7b4816-525d-4976-93bd-bcb06a9c224c_Tag">
    <vt:lpwstr>10, 3, 0, 2</vt:lpwstr>
  </property>
</Properties>
</file>