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83F45" w14:textId="77777777" w:rsidR="009D79DB" w:rsidRPr="007244F0" w:rsidRDefault="009D79DB" w:rsidP="008427FA">
      <w:pPr>
        <w:rPr>
          <w:rFonts w:ascii="Arial" w:hAnsi="Arial" w:cs="Arial"/>
        </w:rPr>
      </w:pPr>
    </w:p>
    <w:p w14:paraId="7C7F2512" w14:textId="77777777" w:rsidR="0075188F" w:rsidRDefault="0075188F" w:rsidP="008427FA">
      <w:pPr>
        <w:rPr>
          <w:rFonts w:ascii="Arial" w:hAnsi="Arial" w:cs="Arial"/>
          <w:b/>
          <w:bCs/>
          <w:i/>
          <w:iCs/>
        </w:rPr>
      </w:pPr>
    </w:p>
    <w:p w14:paraId="7C2090C5" w14:textId="77777777" w:rsidR="0075188F" w:rsidRDefault="0075188F" w:rsidP="008427FA">
      <w:pPr>
        <w:rPr>
          <w:rFonts w:ascii="Arial" w:hAnsi="Arial" w:cs="Arial"/>
          <w:b/>
          <w:bCs/>
          <w:i/>
          <w:iCs/>
        </w:rPr>
      </w:pPr>
    </w:p>
    <w:p w14:paraId="775207BF" w14:textId="34BE1B0D" w:rsidR="008427FA" w:rsidRPr="0075188F" w:rsidRDefault="008C23F9" w:rsidP="0075188F">
      <w:pPr>
        <w:rPr>
          <w:rFonts w:ascii="Arial" w:hAnsi="Arial" w:cs="Arial"/>
          <w:b/>
          <w:bCs/>
        </w:rPr>
      </w:pPr>
      <w:r w:rsidRPr="0075188F">
        <w:rPr>
          <w:rFonts w:ascii="Arial" w:hAnsi="Arial" w:cs="Arial"/>
          <w:b/>
          <w:bCs/>
        </w:rPr>
        <w:t>Remnant Cholesterol Inflammatory Index and Its Correlation with Diabetic Kidney Disease Risk in Patients with Newly Diagnosed Type 2 Diabetes Mellitus</w:t>
      </w:r>
    </w:p>
    <w:p w14:paraId="371C70D5" w14:textId="77777777" w:rsidR="0075188F" w:rsidRPr="0075188F" w:rsidRDefault="0075188F" w:rsidP="0075188F">
      <w:pPr>
        <w:rPr>
          <w:rFonts w:ascii="Arial" w:hAnsi="Arial" w:cs="Arial"/>
          <w:b/>
          <w:bCs/>
        </w:rPr>
      </w:pPr>
    </w:p>
    <w:p w14:paraId="7415EB1F" w14:textId="085EC79C" w:rsidR="008C23F9" w:rsidRPr="0075188F" w:rsidRDefault="008C23F9" w:rsidP="0075188F">
      <w:pPr>
        <w:rPr>
          <w:rFonts w:ascii="Arial" w:hAnsi="Arial" w:cs="Arial"/>
          <w:b/>
          <w:bCs/>
        </w:rPr>
      </w:pPr>
      <w:r w:rsidRPr="0075188F">
        <w:rPr>
          <w:rFonts w:ascii="Arial" w:hAnsi="Arial" w:cs="Arial"/>
          <w:b/>
          <w:bCs/>
        </w:rPr>
        <w:t>Aims:</w:t>
      </w:r>
    </w:p>
    <w:p w14:paraId="07E9EDFD" w14:textId="77777777" w:rsidR="008C23F9" w:rsidRPr="0075188F" w:rsidRDefault="008C23F9" w:rsidP="0075188F">
      <w:pPr>
        <w:rPr>
          <w:rFonts w:ascii="Arial" w:hAnsi="Arial" w:cs="Arial"/>
        </w:rPr>
      </w:pPr>
      <w:r w:rsidRPr="0075188F">
        <w:rPr>
          <w:rFonts w:ascii="Arial" w:hAnsi="Arial" w:cs="Arial"/>
        </w:rPr>
        <w:t>This study aims to investigate the association between the remnant cholesterol inflammatory index (RCII) and the risk of diabetic kidney disease (DKD) in patients with newly diagnosed type 2 diabetes mellitus (T2DM). We hypothesize that elevated RCII correlates with higher incidence and severity of DKD.</w:t>
      </w:r>
    </w:p>
    <w:p w14:paraId="719DEDE7" w14:textId="77777777" w:rsidR="0075188F" w:rsidRPr="0075188F" w:rsidRDefault="0075188F" w:rsidP="0075188F">
      <w:pPr>
        <w:rPr>
          <w:rFonts w:ascii="Arial" w:hAnsi="Arial" w:cs="Arial"/>
          <w:b/>
          <w:bCs/>
        </w:rPr>
      </w:pPr>
    </w:p>
    <w:p w14:paraId="345BC1C7" w14:textId="592167F4" w:rsidR="008C23F9" w:rsidRPr="0075188F" w:rsidRDefault="008C23F9" w:rsidP="0075188F">
      <w:pPr>
        <w:rPr>
          <w:rFonts w:ascii="Arial" w:hAnsi="Arial" w:cs="Arial"/>
          <w:b/>
          <w:bCs/>
        </w:rPr>
      </w:pPr>
      <w:r w:rsidRPr="0075188F">
        <w:rPr>
          <w:rFonts w:ascii="Arial" w:hAnsi="Arial" w:cs="Arial"/>
          <w:b/>
          <w:bCs/>
        </w:rPr>
        <w:t>Methods:</w:t>
      </w:r>
    </w:p>
    <w:p w14:paraId="3F25B1FB" w14:textId="77777777" w:rsidR="008C23F9" w:rsidRPr="0075188F" w:rsidRDefault="008C23F9" w:rsidP="0075188F">
      <w:pPr>
        <w:rPr>
          <w:rFonts w:ascii="Arial" w:hAnsi="Arial" w:cs="Arial"/>
        </w:rPr>
      </w:pPr>
      <w:r w:rsidRPr="0075188F">
        <w:rPr>
          <w:rFonts w:ascii="Arial" w:hAnsi="Arial" w:cs="Arial" w:hint="eastAsia"/>
        </w:rPr>
        <w:t>In this retrospective cross-sectional study, 377 adults (</w:t>
      </w:r>
      <w:r w:rsidRPr="0075188F">
        <w:rPr>
          <w:rFonts w:ascii="Arial" w:hAnsi="Arial" w:cs="Arial" w:hint="eastAsia"/>
        </w:rPr>
        <w:t>≥</w:t>
      </w:r>
      <w:r w:rsidRPr="0075188F">
        <w:rPr>
          <w:rFonts w:ascii="Arial" w:hAnsi="Arial" w:cs="Arial" w:hint="eastAsia"/>
        </w:rPr>
        <w:t>20 years) with newly diagnosed T2DM from Shijiazhuang People</w:t>
      </w:r>
      <w:r w:rsidRPr="0075188F">
        <w:rPr>
          <w:rFonts w:ascii="Arial" w:hAnsi="Arial" w:cs="Arial" w:hint="eastAsia"/>
        </w:rPr>
        <w:t>’</w:t>
      </w:r>
      <w:r w:rsidRPr="0075188F">
        <w:rPr>
          <w:rFonts w:ascii="Arial" w:hAnsi="Arial" w:cs="Arial" w:hint="eastAsia"/>
        </w:rPr>
        <w:t>s Hospital were stratified into DKD (n=191) and non-DKD (n=186) groups based on estimated glomerular filtration rate (eGFR) and albuminur</w:t>
      </w:r>
      <w:r w:rsidRPr="0075188F">
        <w:rPr>
          <w:rFonts w:ascii="Arial" w:hAnsi="Arial" w:cs="Arial"/>
        </w:rPr>
        <w:t xml:space="preserve">ia criteria. Multivariate logistic regression </w:t>
      </w:r>
      <w:proofErr w:type="spellStart"/>
      <w:r w:rsidRPr="0075188F">
        <w:rPr>
          <w:rFonts w:ascii="Arial" w:hAnsi="Arial" w:cs="Arial"/>
        </w:rPr>
        <w:t>analyzed</w:t>
      </w:r>
      <w:proofErr w:type="spellEnd"/>
      <w:r w:rsidRPr="0075188F">
        <w:rPr>
          <w:rFonts w:ascii="Arial" w:hAnsi="Arial" w:cs="Arial"/>
        </w:rPr>
        <w:t xml:space="preserve"> natural log-transformed RCII (</w:t>
      </w:r>
      <w:proofErr w:type="spellStart"/>
      <w:r w:rsidRPr="0075188F">
        <w:rPr>
          <w:rFonts w:ascii="Arial" w:hAnsi="Arial" w:cs="Arial"/>
        </w:rPr>
        <w:t>lnRCII</w:t>
      </w:r>
      <w:proofErr w:type="spellEnd"/>
      <w:r w:rsidRPr="0075188F">
        <w:rPr>
          <w:rFonts w:ascii="Arial" w:hAnsi="Arial" w:cs="Arial"/>
        </w:rPr>
        <w:t>) associations with DKD risk, adjusted for confounders, with subgroup analyses by sex, age, and serum uric acid levels.</w:t>
      </w:r>
    </w:p>
    <w:p w14:paraId="2CCCD1CE" w14:textId="77777777" w:rsidR="0075188F" w:rsidRPr="0075188F" w:rsidRDefault="0075188F" w:rsidP="0075188F">
      <w:pPr>
        <w:rPr>
          <w:rFonts w:ascii="Arial" w:hAnsi="Arial" w:cs="Arial"/>
          <w:b/>
          <w:bCs/>
        </w:rPr>
      </w:pPr>
    </w:p>
    <w:p w14:paraId="2429B6FD" w14:textId="52BCB732" w:rsidR="008C23F9" w:rsidRPr="0075188F" w:rsidRDefault="008C23F9" w:rsidP="0075188F">
      <w:pPr>
        <w:rPr>
          <w:rFonts w:ascii="Arial" w:hAnsi="Arial" w:cs="Arial"/>
        </w:rPr>
      </w:pPr>
      <w:r w:rsidRPr="0075188F">
        <w:rPr>
          <w:rFonts w:ascii="Arial" w:hAnsi="Arial" w:cs="Arial"/>
          <w:b/>
          <w:bCs/>
        </w:rPr>
        <w:t>Results</w:t>
      </w:r>
      <w:r w:rsidRPr="0075188F">
        <w:rPr>
          <w:rFonts w:ascii="Arial" w:hAnsi="Arial" w:cs="Arial"/>
        </w:rPr>
        <w:t>:</w:t>
      </w:r>
    </w:p>
    <w:p w14:paraId="6F5DC25A" w14:textId="77777777" w:rsidR="008C23F9" w:rsidRPr="0075188F" w:rsidRDefault="008C23F9" w:rsidP="0075188F">
      <w:pPr>
        <w:rPr>
          <w:rFonts w:ascii="Arial" w:hAnsi="Arial" w:cs="Arial"/>
        </w:rPr>
      </w:pPr>
      <w:r w:rsidRPr="0075188F">
        <w:rPr>
          <w:rFonts w:ascii="Arial" w:hAnsi="Arial" w:cs="Arial"/>
        </w:rPr>
        <w:t xml:space="preserve">Elevated </w:t>
      </w:r>
      <w:proofErr w:type="spellStart"/>
      <w:r w:rsidRPr="0075188F">
        <w:rPr>
          <w:rFonts w:ascii="Arial" w:hAnsi="Arial" w:cs="Arial"/>
        </w:rPr>
        <w:t>lnRCII</w:t>
      </w:r>
      <w:proofErr w:type="spellEnd"/>
      <w:r w:rsidRPr="0075188F">
        <w:rPr>
          <w:rFonts w:ascii="Arial" w:hAnsi="Arial" w:cs="Arial"/>
        </w:rPr>
        <w:t xml:space="preserve"> levels were significantly associated with an increased risk of DKD in all models. In the crude model, the highest tertile of </w:t>
      </w:r>
      <w:proofErr w:type="spellStart"/>
      <w:r w:rsidRPr="0075188F">
        <w:rPr>
          <w:rFonts w:ascii="Arial" w:hAnsi="Arial" w:cs="Arial"/>
        </w:rPr>
        <w:t>lnRCII</w:t>
      </w:r>
      <w:proofErr w:type="spellEnd"/>
      <w:r w:rsidRPr="0075188F">
        <w:rPr>
          <w:rFonts w:ascii="Arial" w:hAnsi="Arial" w:cs="Arial"/>
        </w:rPr>
        <w:t xml:space="preserve"> (Q3) had an odds ratio (OR) of 2.67 (95% CI 1.60-4.45, p&lt;0.001) for DKD. After adjusting for demographic and lifestyle factors, the association remained significant with an OR of 2.76 (95% CI 1.21-6.31, p=0.016) for Q3-lnRCII. A dose-response relationship was observed, with increasing </w:t>
      </w:r>
      <w:proofErr w:type="spellStart"/>
      <w:r w:rsidRPr="0075188F">
        <w:rPr>
          <w:rFonts w:ascii="Arial" w:hAnsi="Arial" w:cs="Arial"/>
        </w:rPr>
        <w:t>lnRCII</w:t>
      </w:r>
      <w:proofErr w:type="spellEnd"/>
      <w:r w:rsidRPr="0075188F">
        <w:rPr>
          <w:rFonts w:ascii="Arial" w:hAnsi="Arial" w:cs="Arial"/>
        </w:rPr>
        <w:t xml:space="preserve"> levels associated with higher DKD risk. Subgroup analyses revealed stronger associations in male patients, younger individuals, and those with elevated SUA levels. ROC curve analysis demonstrated moderate diagnostic accuracy for </w:t>
      </w:r>
      <w:proofErr w:type="spellStart"/>
      <w:r w:rsidRPr="0075188F">
        <w:rPr>
          <w:rFonts w:ascii="Arial" w:hAnsi="Arial" w:cs="Arial"/>
        </w:rPr>
        <w:t>lnRCII</w:t>
      </w:r>
      <w:proofErr w:type="spellEnd"/>
      <w:r w:rsidRPr="0075188F">
        <w:rPr>
          <w:rFonts w:ascii="Arial" w:hAnsi="Arial" w:cs="Arial"/>
        </w:rPr>
        <w:t xml:space="preserve"> (AUC = 0.61), with suboptimal sensitivity (51.08%) but acceptable specificity (69.11%).</w:t>
      </w:r>
    </w:p>
    <w:p w14:paraId="48C65768" w14:textId="77777777" w:rsidR="0075188F" w:rsidRPr="0075188F" w:rsidRDefault="0075188F" w:rsidP="0075188F">
      <w:pPr>
        <w:rPr>
          <w:rFonts w:ascii="Arial" w:hAnsi="Arial" w:cs="Arial"/>
          <w:b/>
          <w:bCs/>
        </w:rPr>
      </w:pPr>
    </w:p>
    <w:p w14:paraId="7AF5EA9B" w14:textId="4899A11B" w:rsidR="008C23F9" w:rsidRPr="0075188F" w:rsidRDefault="008C23F9" w:rsidP="0075188F">
      <w:pPr>
        <w:rPr>
          <w:rFonts w:ascii="Arial" w:hAnsi="Arial" w:cs="Arial"/>
          <w:b/>
          <w:bCs/>
        </w:rPr>
      </w:pPr>
      <w:r w:rsidRPr="0075188F">
        <w:rPr>
          <w:rFonts w:ascii="Arial" w:hAnsi="Arial" w:cs="Arial"/>
          <w:b/>
          <w:bCs/>
        </w:rPr>
        <w:t>Conclusion:</w:t>
      </w:r>
    </w:p>
    <w:p w14:paraId="74384CC5" w14:textId="47363C83" w:rsidR="008427FA" w:rsidRPr="0075188F" w:rsidRDefault="008C23F9" w:rsidP="0075188F">
      <w:pPr>
        <w:rPr>
          <w:rFonts w:ascii="Arial" w:hAnsi="Arial" w:cs="Arial"/>
        </w:rPr>
      </w:pPr>
      <w:r w:rsidRPr="0075188F">
        <w:rPr>
          <w:rFonts w:ascii="Arial" w:hAnsi="Arial" w:cs="Arial"/>
        </w:rPr>
        <w:t>This first evidence establishes RCII as an independent biomarker for DKD risk in early T2DM, integrating lipid and inflammatory pathways. The dose-response relationship and subgroup variability underscore RCII's potential for personalized risk stratification and targeted intervention to prevent DKD progression.</w:t>
      </w:r>
    </w:p>
    <w:p w14:paraId="7BE4AE49" w14:textId="77777777" w:rsidR="008427FA" w:rsidRPr="0075188F" w:rsidRDefault="008427FA" w:rsidP="0075188F">
      <w:pPr>
        <w:rPr>
          <w:rFonts w:ascii="Arial" w:hAnsi="Arial" w:cs="Arial"/>
        </w:rPr>
      </w:pPr>
    </w:p>
    <w:p w14:paraId="0EFF133E" w14:textId="77777777" w:rsidR="008427FA" w:rsidRPr="0075188F" w:rsidRDefault="008427FA" w:rsidP="0075188F">
      <w:pPr>
        <w:rPr>
          <w:rFonts w:ascii="Arial" w:hAnsi="Arial" w:cs="Arial"/>
        </w:rPr>
      </w:pPr>
    </w:p>
    <w:p w14:paraId="4010AC30" w14:textId="77777777" w:rsidR="008427FA" w:rsidRPr="007244F0" w:rsidRDefault="008427FA" w:rsidP="008427FA">
      <w:pPr>
        <w:rPr>
          <w:rFonts w:ascii="Arial" w:hAnsi="Arial" w:cs="Arial"/>
        </w:rPr>
      </w:pPr>
    </w:p>
    <w:p w14:paraId="484FA34F" w14:textId="77777777" w:rsidR="00830A4D" w:rsidRPr="007244F0" w:rsidRDefault="00830A4D">
      <w:pPr>
        <w:rPr>
          <w:rFonts w:ascii="Arial" w:hAnsi="Arial" w:cs="Arial"/>
        </w:rPr>
      </w:pP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28124D"/>
    <w:rsid w:val="00376B39"/>
    <w:rsid w:val="004E09DD"/>
    <w:rsid w:val="007244F0"/>
    <w:rsid w:val="0075188F"/>
    <w:rsid w:val="00830A4D"/>
    <w:rsid w:val="008427FA"/>
    <w:rsid w:val="008953CF"/>
    <w:rsid w:val="008C23F9"/>
    <w:rsid w:val="009A582D"/>
    <w:rsid w:val="009A6C0F"/>
    <w:rsid w:val="009D79DB"/>
    <w:rsid w:val="00A85759"/>
    <w:rsid w:val="00BC73E4"/>
    <w:rsid w:val="00D56368"/>
    <w:rsid w:val="00D830D6"/>
    <w:rsid w:val="00DD0D64"/>
    <w:rsid w:val="00F8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EastAsia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1EFEA8-B28B-4312-8932-EBEE721E9D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1754</Characters>
  <Application>Microsoft Office Word</Application>
  <DocSecurity>0</DocSecurity>
  <Lines>24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Tanya Yandall</cp:lastModifiedBy>
  <cp:revision>3</cp:revision>
  <dcterms:created xsi:type="dcterms:W3CDTF">2026-02-17T20:52:00Z</dcterms:created>
  <dcterms:modified xsi:type="dcterms:W3CDTF">2026-02-17T20:53:00Z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