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7" w14:textId="77777777" w:rsidR="00BB3512" w:rsidRPr="006E3D4E" w:rsidRDefault="00F15D3E" w:rsidP="006E3D4E">
      <w:pPr>
        <w:spacing w:after="160" w:line="240" w:lineRule="auto"/>
        <w:jc w:val="both"/>
        <w:rPr>
          <w:b/>
          <w:bCs/>
        </w:rPr>
      </w:pPr>
      <w:r w:rsidRPr="006E3D4E">
        <w:rPr>
          <w:b/>
          <w:bCs/>
        </w:rPr>
        <w:t xml:space="preserve">A 12-Year Single-Center Retrospective Cohort Study on the Characteristics of Hyperosmolar </w:t>
      </w:r>
      <w:proofErr w:type="spellStart"/>
      <w:r w:rsidRPr="006E3D4E">
        <w:rPr>
          <w:b/>
          <w:bCs/>
        </w:rPr>
        <w:t>Hyperglycaemic</w:t>
      </w:r>
      <w:proofErr w:type="spellEnd"/>
      <w:r w:rsidRPr="006E3D4E">
        <w:rPr>
          <w:b/>
          <w:bCs/>
        </w:rPr>
        <w:t xml:space="preserve"> State (HHS) and Mixed Diabetic Ketoacidosis / Hyperosmolar </w:t>
      </w:r>
      <w:proofErr w:type="spellStart"/>
      <w:r w:rsidRPr="006E3D4E">
        <w:rPr>
          <w:b/>
          <w:bCs/>
        </w:rPr>
        <w:t>Hyperglycaemic</w:t>
      </w:r>
      <w:proofErr w:type="spellEnd"/>
      <w:r w:rsidRPr="006E3D4E">
        <w:rPr>
          <w:b/>
          <w:bCs/>
        </w:rPr>
        <w:t xml:space="preserve"> State (DKA/HHS)</w:t>
      </w:r>
    </w:p>
    <w:p w14:paraId="00000008" w14:textId="77777777" w:rsidR="00BB3512" w:rsidRPr="006E3D4E" w:rsidRDefault="00BB3512" w:rsidP="006E3D4E">
      <w:pPr>
        <w:spacing w:after="160" w:line="240" w:lineRule="auto"/>
        <w:jc w:val="both"/>
      </w:pPr>
    </w:p>
    <w:p w14:paraId="00000009" w14:textId="77777777" w:rsidR="00BB3512" w:rsidRPr="006E3D4E" w:rsidRDefault="00F15D3E" w:rsidP="006E3D4E">
      <w:pPr>
        <w:spacing w:after="160" w:line="240" w:lineRule="auto"/>
        <w:jc w:val="both"/>
        <w:rPr>
          <w:b/>
        </w:rPr>
      </w:pPr>
      <w:r w:rsidRPr="006E3D4E">
        <w:rPr>
          <w:b/>
        </w:rPr>
        <w:t>Aim</w:t>
      </w:r>
    </w:p>
    <w:p w14:paraId="0000000A" w14:textId="77777777" w:rsidR="00BB3512" w:rsidRPr="006E3D4E" w:rsidRDefault="00F15D3E" w:rsidP="006E3D4E">
      <w:pPr>
        <w:spacing w:line="240" w:lineRule="auto"/>
      </w:pPr>
      <w:r w:rsidRPr="006E3D4E">
        <w:t xml:space="preserve">This study aims to </w:t>
      </w:r>
      <w:proofErr w:type="spellStart"/>
      <w:r w:rsidRPr="006E3D4E">
        <w:t>characterise</w:t>
      </w:r>
      <w:proofErr w:type="spellEnd"/>
      <w:r w:rsidRPr="006E3D4E">
        <w:t xml:space="preserve"> the increasingly prevalent hyperglycemic emergencies, hyperosmolar </w:t>
      </w:r>
      <w:proofErr w:type="spellStart"/>
      <w:r w:rsidRPr="006E3D4E">
        <w:t>hyperglycaemic</w:t>
      </w:r>
      <w:proofErr w:type="spellEnd"/>
      <w:r w:rsidRPr="006E3D4E">
        <w:t xml:space="preserve"> state (HHS) and mixed diabetic ketoacidosis / hyperosmolar </w:t>
      </w:r>
      <w:proofErr w:type="spellStart"/>
      <w:r w:rsidRPr="006E3D4E">
        <w:t>hyperglycaemic</w:t>
      </w:r>
      <w:proofErr w:type="spellEnd"/>
      <w:r w:rsidRPr="006E3D4E">
        <w:t xml:space="preserve"> state (DKA/HHS), which have significant morbidity and mortality.</w:t>
      </w:r>
    </w:p>
    <w:p w14:paraId="0000000B" w14:textId="77777777" w:rsidR="00BB3512" w:rsidRPr="006E3D4E" w:rsidRDefault="00BB3512" w:rsidP="006E3D4E">
      <w:pPr>
        <w:spacing w:line="240" w:lineRule="auto"/>
      </w:pPr>
    </w:p>
    <w:p w14:paraId="0000000C" w14:textId="77777777" w:rsidR="00BB3512" w:rsidRPr="006E3D4E" w:rsidRDefault="00F15D3E" w:rsidP="006E3D4E">
      <w:pPr>
        <w:spacing w:after="160" w:line="240" w:lineRule="auto"/>
        <w:jc w:val="both"/>
        <w:rPr>
          <w:b/>
        </w:rPr>
      </w:pPr>
      <w:r w:rsidRPr="006E3D4E">
        <w:rPr>
          <w:b/>
        </w:rPr>
        <w:t>Methods</w:t>
      </w:r>
    </w:p>
    <w:p w14:paraId="0000000D" w14:textId="77777777" w:rsidR="00BB3512" w:rsidRPr="006E3D4E" w:rsidRDefault="00F15D3E" w:rsidP="006E3D4E">
      <w:pPr>
        <w:spacing w:after="160" w:line="240" w:lineRule="auto"/>
        <w:jc w:val="both"/>
      </w:pPr>
      <w:r w:rsidRPr="006E3D4E">
        <w:t>A single-</w:t>
      </w:r>
      <w:proofErr w:type="spellStart"/>
      <w:r w:rsidRPr="006E3D4E">
        <w:t>centre</w:t>
      </w:r>
      <w:proofErr w:type="spellEnd"/>
      <w:r w:rsidRPr="006E3D4E">
        <w:t xml:space="preserve"> retrospective cohort study was undertaken in a regional tertiary Australian hospital to assess admissions for HHS and DKA/HHS from 1/1/2012 to 31/12/2023.</w:t>
      </w:r>
      <w:r w:rsidRPr="006E3D4E">
        <w:rPr>
          <w:rFonts w:eastAsia="Arial Unicode MS"/>
        </w:rPr>
        <w:t xml:space="preserve"> HHS was defined as a serum osmolality ≥320mOsm/kg and glucose ≥30mmol</w:t>
      </w:r>
      <w:r w:rsidRPr="006E3D4E">
        <w:t>/L without ketoacidosis, while mixed DKA/HHS was defined as hyperosmolality with ketoacidosis.</w:t>
      </w:r>
    </w:p>
    <w:p w14:paraId="0000000E" w14:textId="77777777" w:rsidR="00BB3512" w:rsidRPr="006E3D4E" w:rsidRDefault="00F15D3E" w:rsidP="006E3D4E">
      <w:pPr>
        <w:spacing w:after="160" w:line="240" w:lineRule="auto"/>
        <w:jc w:val="both"/>
      </w:pPr>
      <w:r w:rsidRPr="006E3D4E">
        <w:rPr>
          <w:b/>
        </w:rPr>
        <w:t>Results</w:t>
      </w:r>
    </w:p>
    <w:p w14:paraId="0000000F" w14:textId="77777777" w:rsidR="00BB3512" w:rsidRPr="006E3D4E" w:rsidRDefault="00F15D3E" w:rsidP="006E3D4E">
      <w:pPr>
        <w:spacing w:after="160" w:line="240" w:lineRule="auto"/>
        <w:jc w:val="both"/>
      </w:pPr>
      <w:r w:rsidRPr="006E3D4E">
        <w:t xml:space="preserve">66 HHS and 100 DKA/HHS cases were identified. HHS patients were older (median 66.5 vs. 48.5 years, p&lt;0.001) and had more comorbidities (median Charlson Comorbidity Index 4.0 vs. 3.0, p&lt;0.001). Initial osmolality was not significantly different (median 336.8 </w:t>
      </w:r>
      <w:proofErr w:type="spellStart"/>
      <w:r w:rsidRPr="006E3D4E">
        <w:t>mOsm</w:t>
      </w:r>
      <w:proofErr w:type="spellEnd"/>
      <w:r w:rsidRPr="006E3D4E">
        <w:t xml:space="preserve">/kg in HHS vs. 341.4 </w:t>
      </w:r>
      <w:proofErr w:type="spellStart"/>
      <w:r w:rsidRPr="006E3D4E">
        <w:t>mOsm</w:t>
      </w:r>
      <w:proofErr w:type="spellEnd"/>
      <w:r w:rsidRPr="006E3D4E">
        <w:t>/kg in DKA/HHS, p=0.554).</w:t>
      </w:r>
    </w:p>
    <w:p w14:paraId="00000010" w14:textId="77777777" w:rsidR="00BB3512" w:rsidRPr="006E3D4E" w:rsidRDefault="00F15D3E" w:rsidP="006E3D4E">
      <w:pPr>
        <w:spacing w:after="160" w:line="240" w:lineRule="auto"/>
        <w:jc w:val="both"/>
      </w:pPr>
      <w:r w:rsidRPr="006E3D4E">
        <w:t>The most common causes of HHS and DKA/HHS were insulin omission (31.3%) and infections (24.1%). New diabetes diagnoses accounted for 15.2% of HHS and 8% of DKA/HHS cases, with the majority (83.3%) being type 2 diabetes.</w:t>
      </w:r>
    </w:p>
    <w:p w14:paraId="00000011" w14:textId="77777777" w:rsidR="00BB3512" w:rsidRPr="006E3D4E" w:rsidRDefault="00F15D3E" w:rsidP="006E3D4E">
      <w:pPr>
        <w:spacing w:after="160" w:line="240" w:lineRule="auto"/>
        <w:jc w:val="both"/>
      </w:pPr>
      <w:r w:rsidRPr="006E3D4E">
        <w:t xml:space="preserve">The mortality rate of HHS and DKA/HHS was 4.5% and 4% respectively. HHS was associated with a longer length of stay compared to DKA/HHS (median 10.0 vs. 6.0 days, p=0.003). HHS patients had more gastrointestinal bleeding (12.1% vs. 2.0%, p=0.007), and seizures or strokes (9.1% vs. 0.0%, p=0.002), but less </w:t>
      </w:r>
      <w:proofErr w:type="spellStart"/>
      <w:r w:rsidRPr="006E3D4E">
        <w:t>hypokalaemia</w:t>
      </w:r>
      <w:proofErr w:type="spellEnd"/>
      <w:r w:rsidRPr="006E3D4E">
        <w:t xml:space="preserve"> (12.1% vs. 27%, p=0.021), compared to DKA/HHS patients. </w:t>
      </w:r>
    </w:p>
    <w:p w14:paraId="00000012" w14:textId="77777777" w:rsidR="00BB3512" w:rsidRPr="006E3D4E" w:rsidRDefault="00F15D3E" w:rsidP="006E3D4E">
      <w:pPr>
        <w:spacing w:after="160" w:line="240" w:lineRule="auto"/>
        <w:jc w:val="both"/>
        <w:rPr>
          <w:b/>
        </w:rPr>
      </w:pPr>
      <w:r w:rsidRPr="006E3D4E">
        <w:rPr>
          <w:b/>
        </w:rPr>
        <w:t>Conclusion</w:t>
      </w:r>
    </w:p>
    <w:p w14:paraId="00000013" w14:textId="77777777" w:rsidR="00BB3512" w:rsidRPr="006E3D4E" w:rsidRDefault="00F15D3E" w:rsidP="006E3D4E">
      <w:pPr>
        <w:spacing w:after="160" w:line="240" w:lineRule="auto"/>
        <w:jc w:val="both"/>
      </w:pPr>
      <w:r w:rsidRPr="006E3D4E">
        <w:t xml:space="preserve">Significant clinical overlap exists between HHS and DKA/HHS. Further investigation is warranted to determine the necessity of developing </w:t>
      </w:r>
      <w:proofErr w:type="spellStart"/>
      <w:r w:rsidRPr="006E3D4E">
        <w:t>individualised</w:t>
      </w:r>
      <w:proofErr w:type="spellEnd"/>
      <w:r w:rsidRPr="006E3D4E">
        <w:t xml:space="preserve"> management protocols for these conditions.</w:t>
      </w:r>
    </w:p>
    <w:sectPr w:rsidR="00BB3512" w:rsidRPr="006E3D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12"/>
    <w:rsid w:val="001049FE"/>
    <w:rsid w:val="00220AE5"/>
    <w:rsid w:val="00297CDF"/>
    <w:rsid w:val="006E3D4E"/>
    <w:rsid w:val="00BB3512"/>
    <w:rsid w:val="00BD3A62"/>
    <w:rsid w:val="00F15D3E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8D8A"/>
  <w15:docId w15:val="{E3C52333-8002-4307-B408-E80CAD3E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F6E5F6-50C6-459F-9013-ADF71767D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CB5A9-4C5A-4E71-9025-92BDBC758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762C3-75CC-474F-B447-E710124B72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8a2b7b-0bee-4c48-b0a6-23db8982d3bc"/>
    <ds:schemaRef ds:uri="http://purl.org/dc/elements/1.1/"/>
    <ds:schemaRef ds:uri="http://purl.org/dc/dcmitype/"/>
    <ds:schemaRef ds:uri="http://schemas.microsoft.com/office/2006/documentManagement/types"/>
    <ds:schemaRef ds:uri="6911e96c-4cc4-42d5-8e43-f93924cf6a05"/>
    <ds:schemaRef ds:uri="cab52c9b-ab33-4221-8af9-54f8f2b86a8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Yandall</dc:creator>
  <cp:lastModifiedBy>Tanya Yandall</cp:lastModifiedBy>
  <cp:revision>2</cp:revision>
  <dcterms:created xsi:type="dcterms:W3CDTF">2025-05-22T06:10:00Z</dcterms:created>
  <dcterms:modified xsi:type="dcterms:W3CDTF">2025-05-22T06:10:00Z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