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ED06B0" w:rsidRPr="00A61FD7" w14:paraId="65776B8F" w14:textId="77777777" w:rsidTr="004576AF">
        <w:trPr>
          <w:jc w:val="center"/>
        </w:trPr>
        <w:tc>
          <w:tcPr>
            <w:tcW w:w="8640" w:type="dxa"/>
            <w:shd w:val="clear" w:color="auto" w:fill="auto"/>
          </w:tcPr>
          <w:p w14:paraId="6F56869F" w14:textId="7B3BF1D7" w:rsidR="00ED06B0" w:rsidRPr="00A61FD7" w:rsidRDefault="00745006" w:rsidP="004576AF">
            <w:pPr>
              <w:spacing w:before="120" w:after="120"/>
              <w:rPr>
                <w:rFonts w:ascii="Arial" w:hAnsi="Arial" w:cs="Arial"/>
                <w:b/>
                <w:sz w:val="22"/>
                <w:szCs w:val="22"/>
                <w:lang w:val="en-US" w:eastAsia="zh-CN"/>
              </w:rPr>
            </w:pPr>
            <w:r w:rsidRPr="00745006">
              <w:rPr>
                <w:rFonts w:ascii="Arial" w:hAnsi="Arial" w:cs="Arial"/>
                <w:b/>
                <w:sz w:val="22"/>
                <w:szCs w:val="22"/>
                <w:lang w:val="en-US" w:eastAsia="en-GB"/>
              </w:rPr>
              <w:t>Variability in Malignant Pleural Effusion Management in a Regional Centre</w:t>
            </w:r>
          </w:p>
        </w:tc>
      </w:tr>
      <w:tr w:rsidR="00ED06B0" w:rsidRPr="00A61FD7" w14:paraId="39A84580" w14:textId="77777777" w:rsidTr="004576AF">
        <w:trPr>
          <w:jc w:val="center"/>
        </w:trPr>
        <w:tc>
          <w:tcPr>
            <w:tcW w:w="8640" w:type="dxa"/>
            <w:shd w:val="clear" w:color="auto" w:fill="auto"/>
          </w:tcPr>
          <w:p w14:paraId="31663912" w14:textId="60A779E0" w:rsidR="00ED06B0" w:rsidRPr="00A61FD7" w:rsidRDefault="00D02CFE" w:rsidP="004576AF">
            <w:pPr>
              <w:spacing w:before="120" w:after="120"/>
              <w:rPr>
                <w:rFonts w:ascii="Arial" w:hAnsi="Arial" w:cs="Arial"/>
                <w:sz w:val="22"/>
                <w:szCs w:val="22"/>
                <w:u w:val="single"/>
                <w:lang w:eastAsia="zh-CN"/>
              </w:rPr>
            </w:pPr>
            <w:r>
              <w:rPr>
                <w:rFonts w:ascii="Arial" w:hAnsi="Arial" w:cs="Arial"/>
                <w:sz w:val="22"/>
                <w:szCs w:val="22"/>
                <w:lang w:val="en-US" w:eastAsia="en-GB"/>
              </w:rPr>
              <w:t>G</w:t>
            </w:r>
            <w:r w:rsidR="00ED06B0" w:rsidRPr="00A61FD7">
              <w:rPr>
                <w:rFonts w:ascii="Arial" w:hAnsi="Arial" w:cs="Arial"/>
                <w:sz w:val="22"/>
                <w:szCs w:val="22"/>
                <w:lang w:val="en-US" w:eastAsia="en-GB"/>
              </w:rPr>
              <w:t xml:space="preserve"> Yap</w:t>
            </w:r>
            <w:r w:rsidR="00ED06B0" w:rsidRPr="00A61FD7">
              <w:rPr>
                <w:rFonts w:ascii="Arial" w:hAnsi="Arial" w:cs="Arial"/>
                <w:sz w:val="22"/>
                <w:szCs w:val="22"/>
                <w:vertAlign w:val="superscript"/>
                <w:lang w:val="en-US" w:eastAsia="en-GB"/>
              </w:rPr>
              <w:t>1</w:t>
            </w:r>
            <w:bookmarkStart w:id="0" w:name="Text8"/>
            <w:r w:rsidR="00ED06B0" w:rsidRPr="00A61FD7">
              <w:rPr>
                <w:rFonts w:ascii="Arial" w:hAnsi="Arial" w:cs="Arial"/>
                <w:sz w:val="22"/>
                <w:szCs w:val="22"/>
                <w:lang w:val="en-US" w:eastAsia="en-GB"/>
              </w:rPr>
              <w:t>,</w:t>
            </w:r>
            <w:bookmarkEnd w:id="0"/>
            <w:r w:rsidR="00ED06B0" w:rsidRPr="00A61FD7">
              <w:rPr>
                <w:rFonts w:ascii="Arial" w:hAnsi="Arial" w:cs="Arial"/>
                <w:sz w:val="22"/>
                <w:szCs w:val="22"/>
                <w:lang w:val="en-US" w:eastAsia="en-GB"/>
              </w:rPr>
              <w:t xml:space="preserve"> </w:t>
            </w:r>
            <w:r>
              <w:rPr>
                <w:rFonts w:ascii="Arial" w:hAnsi="Arial" w:cs="Arial"/>
                <w:sz w:val="22"/>
                <w:szCs w:val="22"/>
                <w:lang w:val="en-US" w:eastAsia="en-GB"/>
              </w:rPr>
              <w:t>A</w:t>
            </w:r>
            <w:r w:rsidR="00ED06B0" w:rsidRPr="00A61FD7">
              <w:rPr>
                <w:rFonts w:ascii="Arial" w:hAnsi="Arial" w:cs="Arial"/>
                <w:sz w:val="22"/>
                <w:szCs w:val="22"/>
                <w:lang w:val="en-US" w:eastAsia="en-GB"/>
              </w:rPr>
              <w:t xml:space="preserve"> Ponsford</w:t>
            </w:r>
            <w:r w:rsidR="00ED06B0" w:rsidRPr="00A61FD7">
              <w:rPr>
                <w:rFonts w:ascii="Arial" w:hAnsi="Arial" w:cs="Arial"/>
                <w:sz w:val="22"/>
                <w:szCs w:val="22"/>
                <w:vertAlign w:val="superscript"/>
                <w:lang w:val="en-US" w:eastAsia="en-GB"/>
              </w:rPr>
              <w:t>1</w:t>
            </w:r>
            <w:r w:rsidR="00ED06B0" w:rsidRPr="00A61FD7">
              <w:rPr>
                <w:rFonts w:ascii="Arial" w:hAnsi="Arial" w:cs="Arial"/>
                <w:sz w:val="22"/>
                <w:szCs w:val="22"/>
                <w:lang w:val="en-US" w:eastAsia="en-GB"/>
              </w:rPr>
              <w:t xml:space="preserve">, </w:t>
            </w:r>
            <w:r>
              <w:rPr>
                <w:rFonts w:ascii="Arial" w:hAnsi="Arial" w:cs="Arial"/>
                <w:sz w:val="22"/>
                <w:szCs w:val="22"/>
                <w:lang w:val="en-US" w:eastAsia="en-GB"/>
              </w:rPr>
              <w:t xml:space="preserve">ZM </w:t>
            </w:r>
            <w:r w:rsidR="00ED06B0" w:rsidRPr="00A61FD7">
              <w:rPr>
                <w:rFonts w:ascii="Arial" w:hAnsi="Arial" w:cs="Arial"/>
                <w:sz w:val="22"/>
                <w:szCs w:val="22"/>
                <w:lang w:val="en-US" w:eastAsia="en-GB"/>
              </w:rPr>
              <w:t>Htet</w:t>
            </w:r>
            <w:r w:rsidR="00ED06B0" w:rsidRPr="00A61FD7">
              <w:rPr>
                <w:rFonts w:ascii="Arial" w:hAnsi="Arial" w:cs="Arial"/>
                <w:sz w:val="22"/>
                <w:szCs w:val="22"/>
                <w:vertAlign w:val="superscript"/>
                <w:lang w:val="en-US" w:eastAsia="en-GB"/>
              </w:rPr>
              <w:t>1</w:t>
            </w:r>
            <w:r w:rsidR="00ED06B0" w:rsidRPr="00A61FD7">
              <w:rPr>
                <w:rFonts w:ascii="Arial" w:hAnsi="Arial" w:cs="Arial"/>
                <w:sz w:val="22"/>
                <w:szCs w:val="22"/>
                <w:lang w:val="en-US" w:eastAsia="en-GB"/>
              </w:rPr>
              <w:t xml:space="preserve">, </w:t>
            </w:r>
            <w:r>
              <w:rPr>
                <w:rFonts w:ascii="Arial" w:hAnsi="Arial" w:cs="Arial"/>
                <w:sz w:val="22"/>
                <w:szCs w:val="22"/>
                <w:lang w:val="en-US" w:eastAsia="en-GB"/>
              </w:rPr>
              <w:t>T</w:t>
            </w:r>
            <w:r w:rsidR="00ED06B0" w:rsidRPr="00A61FD7">
              <w:rPr>
                <w:rFonts w:ascii="Arial" w:hAnsi="Arial" w:cs="Arial"/>
                <w:sz w:val="22"/>
                <w:szCs w:val="22"/>
                <w:lang w:val="en-US" w:eastAsia="en-GB"/>
              </w:rPr>
              <w:t xml:space="preserve"> Wright</w:t>
            </w:r>
            <w:r w:rsidR="00ED06B0" w:rsidRPr="00A61FD7">
              <w:rPr>
                <w:rFonts w:ascii="Arial" w:hAnsi="Arial" w:cs="Arial"/>
                <w:sz w:val="22"/>
                <w:szCs w:val="22"/>
                <w:vertAlign w:val="superscript"/>
                <w:lang w:val="en-US" w:eastAsia="en-GB"/>
              </w:rPr>
              <w:t>1</w:t>
            </w:r>
            <w:r w:rsidR="00ED06B0" w:rsidRPr="00A61FD7">
              <w:rPr>
                <w:rFonts w:ascii="Arial" w:hAnsi="Arial" w:cs="Arial"/>
                <w:sz w:val="22"/>
                <w:szCs w:val="22"/>
                <w:lang w:val="en-US" w:eastAsia="en-GB"/>
              </w:rPr>
              <w:t xml:space="preserve">, </w:t>
            </w:r>
            <w:r>
              <w:rPr>
                <w:rFonts w:ascii="Arial" w:hAnsi="Arial" w:cs="Arial"/>
                <w:sz w:val="22"/>
                <w:szCs w:val="22"/>
                <w:lang w:val="en-US" w:eastAsia="en-GB"/>
              </w:rPr>
              <w:t>H</w:t>
            </w:r>
            <w:r w:rsidR="00ED06B0" w:rsidRPr="00A61FD7">
              <w:rPr>
                <w:rFonts w:ascii="Arial" w:hAnsi="Arial" w:cs="Arial"/>
                <w:sz w:val="22"/>
                <w:szCs w:val="22"/>
                <w:lang w:val="en-US" w:eastAsia="en-GB"/>
              </w:rPr>
              <w:t xml:space="preserve"> Jeyakumar</w:t>
            </w:r>
            <w:r w:rsidR="00ED06B0" w:rsidRPr="00A61FD7">
              <w:rPr>
                <w:rFonts w:ascii="Arial" w:hAnsi="Arial" w:cs="Arial"/>
                <w:sz w:val="22"/>
                <w:szCs w:val="22"/>
                <w:vertAlign w:val="superscript"/>
                <w:lang w:val="en-US" w:eastAsia="en-GB"/>
              </w:rPr>
              <w:t>1,</w:t>
            </w:r>
            <w:r>
              <w:rPr>
                <w:rFonts w:ascii="Arial" w:hAnsi="Arial" w:cs="Arial"/>
                <w:sz w:val="22"/>
                <w:szCs w:val="22"/>
                <w:vertAlign w:val="superscript"/>
                <w:lang w:val="en-US" w:eastAsia="en-GB"/>
              </w:rPr>
              <w:t>2</w:t>
            </w:r>
            <w:r w:rsidR="00ED06B0" w:rsidRPr="00A61FD7">
              <w:rPr>
                <w:rFonts w:ascii="Arial" w:hAnsi="Arial" w:cs="Arial"/>
                <w:sz w:val="22"/>
                <w:szCs w:val="22"/>
                <w:lang w:val="en-US" w:eastAsia="en-GB"/>
              </w:rPr>
              <w:t xml:space="preserve">, </w:t>
            </w:r>
            <w:r>
              <w:rPr>
                <w:rFonts w:ascii="Arial" w:hAnsi="Arial" w:cs="Arial"/>
                <w:sz w:val="22"/>
                <w:szCs w:val="22"/>
                <w:lang w:val="en-US" w:eastAsia="en-GB"/>
              </w:rPr>
              <w:t>A</w:t>
            </w:r>
            <w:r w:rsidR="00ED06B0" w:rsidRPr="00A61FD7">
              <w:rPr>
                <w:rFonts w:ascii="Arial" w:hAnsi="Arial" w:cs="Arial"/>
                <w:sz w:val="22"/>
                <w:szCs w:val="22"/>
                <w:lang w:val="en-US" w:eastAsia="en-GB"/>
              </w:rPr>
              <w:t xml:space="preserve"> Nair</w:t>
            </w:r>
            <w:r w:rsidR="00ED06B0" w:rsidRPr="00A61FD7">
              <w:rPr>
                <w:rFonts w:ascii="Arial" w:hAnsi="Arial" w:cs="Arial"/>
                <w:sz w:val="22"/>
                <w:szCs w:val="22"/>
                <w:vertAlign w:val="superscript"/>
                <w:lang w:val="en-US" w:eastAsia="en-GB"/>
              </w:rPr>
              <w:t>1,</w:t>
            </w:r>
            <w:r>
              <w:rPr>
                <w:rFonts w:ascii="Arial" w:hAnsi="Arial" w:cs="Arial"/>
                <w:sz w:val="22"/>
                <w:szCs w:val="22"/>
                <w:vertAlign w:val="superscript"/>
                <w:lang w:val="en-US" w:eastAsia="en-GB"/>
              </w:rPr>
              <w:t>2</w:t>
            </w:r>
            <w:r w:rsidR="00ED06B0" w:rsidRPr="00A61FD7">
              <w:rPr>
                <w:rFonts w:ascii="Arial" w:hAnsi="Arial" w:cs="Arial"/>
                <w:sz w:val="22"/>
                <w:szCs w:val="22"/>
                <w:vertAlign w:val="superscript"/>
                <w:lang w:val="en-US" w:eastAsia="en-GB"/>
              </w:rPr>
              <w:t xml:space="preserve"> </w:t>
            </w:r>
          </w:p>
        </w:tc>
      </w:tr>
      <w:tr w:rsidR="00ED06B0" w:rsidRPr="00A61FD7" w14:paraId="462DFB2F" w14:textId="77777777" w:rsidTr="004576AF">
        <w:trPr>
          <w:trHeight w:val="136"/>
          <w:jc w:val="center"/>
        </w:trPr>
        <w:tc>
          <w:tcPr>
            <w:tcW w:w="8640" w:type="dxa"/>
            <w:shd w:val="clear" w:color="auto" w:fill="auto"/>
          </w:tcPr>
          <w:p w14:paraId="0DE285A6" w14:textId="1EDC6261" w:rsidR="00ED06B0" w:rsidRPr="00A61FD7" w:rsidRDefault="00ED06B0" w:rsidP="004576AF">
            <w:pPr>
              <w:spacing w:before="120" w:after="120"/>
              <w:rPr>
                <w:rFonts w:ascii="Arial" w:hAnsi="Arial" w:cs="Arial"/>
                <w:i/>
                <w:sz w:val="22"/>
                <w:szCs w:val="22"/>
                <w:lang w:val="en-US" w:eastAsia="en-GB"/>
              </w:rPr>
            </w:pPr>
            <w:r w:rsidRPr="00A61FD7">
              <w:rPr>
                <w:rFonts w:ascii="Arial" w:hAnsi="Arial" w:cs="Arial"/>
                <w:i/>
                <w:sz w:val="22"/>
                <w:szCs w:val="22"/>
                <w:vertAlign w:val="superscript"/>
                <w:lang w:val="en-US" w:eastAsia="en-GB"/>
              </w:rPr>
              <w:t>1</w:t>
            </w:r>
            <w:r w:rsidRPr="00A61FD7">
              <w:rPr>
                <w:rFonts w:ascii="Arial" w:hAnsi="Arial" w:cs="Arial"/>
                <w:i/>
                <w:sz w:val="22"/>
                <w:szCs w:val="22"/>
                <w:lang w:val="en-US" w:eastAsia="en-GB"/>
              </w:rPr>
              <w:t>General Medicine Department, Latrobe Regional Hospit</w:t>
            </w:r>
            <w:r w:rsidR="00D02CFE">
              <w:rPr>
                <w:rFonts w:ascii="Arial" w:hAnsi="Arial" w:cs="Arial"/>
                <w:i/>
                <w:sz w:val="22"/>
                <w:szCs w:val="22"/>
                <w:lang w:val="en-US" w:eastAsia="en-GB"/>
              </w:rPr>
              <w:t>al</w:t>
            </w:r>
            <w:r w:rsidR="003D5E3A">
              <w:rPr>
                <w:rFonts w:ascii="Arial" w:hAnsi="Arial" w:cs="Arial"/>
                <w:i/>
                <w:sz w:val="22"/>
                <w:szCs w:val="22"/>
                <w:lang w:val="en-US" w:eastAsia="en-GB"/>
              </w:rPr>
              <w:t>,</w:t>
            </w:r>
            <w:r w:rsidR="00D02CFE">
              <w:rPr>
                <w:rFonts w:ascii="Arial" w:hAnsi="Arial" w:cs="Arial"/>
                <w:i/>
                <w:sz w:val="22"/>
                <w:szCs w:val="22"/>
                <w:lang w:val="en-US" w:eastAsia="en-GB"/>
              </w:rPr>
              <w:t xml:space="preserve"> </w:t>
            </w:r>
            <w:r w:rsidR="00D02CFE">
              <w:rPr>
                <w:rFonts w:ascii="Arial" w:hAnsi="Arial" w:cs="Arial"/>
                <w:i/>
                <w:sz w:val="22"/>
                <w:szCs w:val="22"/>
                <w:vertAlign w:val="superscript"/>
                <w:lang w:val="en-US" w:eastAsia="en-GB"/>
              </w:rPr>
              <w:t>2</w:t>
            </w:r>
            <w:r w:rsidRPr="00A61FD7">
              <w:rPr>
                <w:rFonts w:ascii="Arial" w:hAnsi="Arial" w:cs="Arial"/>
                <w:i/>
                <w:sz w:val="22"/>
                <w:szCs w:val="22"/>
                <w:lang w:val="en-US" w:eastAsia="en-GB"/>
              </w:rPr>
              <w:t xml:space="preserve">Monash Lung Sleep Allergy &amp; Immunology, Monash </w:t>
            </w:r>
            <w:proofErr w:type="gramStart"/>
            <w:r w:rsidRPr="00A61FD7">
              <w:rPr>
                <w:rFonts w:ascii="Arial" w:hAnsi="Arial" w:cs="Arial"/>
                <w:i/>
                <w:sz w:val="22"/>
                <w:szCs w:val="22"/>
                <w:lang w:val="en-US" w:eastAsia="en-GB"/>
              </w:rPr>
              <w:t>Health</w:t>
            </w:r>
            <w:proofErr w:type="gramEnd"/>
            <w:r w:rsidRPr="00A61FD7">
              <w:rPr>
                <w:rFonts w:ascii="Arial" w:hAnsi="Arial" w:cs="Arial"/>
                <w:i/>
                <w:sz w:val="22"/>
                <w:szCs w:val="22"/>
                <w:lang w:val="en-US" w:eastAsia="en-GB"/>
              </w:rPr>
              <w:t xml:space="preserve"> and University</w:t>
            </w:r>
          </w:p>
        </w:tc>
      </w:tr>
      <w:tr w:rsidR="00A12226" w:rsidRPr="00A61FD7" w14:paraId="7DA0FDD4" w14:textId="77777777" w:rsidTr="004576AF">
        <w:trPr>
          <w:trHeight w:val="136"/>
          <w:jc w:val="center"/>
        </w:trPr>
        <w:tc>
          <w:tcPr>
            <w:tcW w:w="8640" w:type="dxa"/>
            <w:shd w:val="clear" w:color="auto" w:fill="auto"/>
          </w:tcPr>
          <w:p w14:paraId="1A70CBDF" w14:textId="77777777" w:rsidR="00A12226" w:rsidRPr="00FF717D" w:rsidRDefault="00A12226" w:rsidP="00A12226">
            <w:pPr>
              <w:pStyle w:val="Pa12"/>
              <w:rPr>
                <w:rStyle w:val="A4"/>
                <w:b/>
                <w:bCs/>
              </w:rPr>
            </w:pPr>
            <w:r w:rsidRPr="00FF717D">
              <w:rPr>
                <w:rStyle w:val="A4"/>
                <w:b/>
                <w:bCs/>
              </w:rPr>
              <w:t xml:space="preserve">Introduction/Aim: </w:t>
            </w:r>
          </w:p>
          <w:p w14:paraId="029EAB49" w14:textId="77777777" w:rsidR="00987D46" w:rsidRDefault="00987D46" w:rsidP="0099169B">
            <w:pPr>
              <w:pStyle w:val="Default"/>
              <w:rPr>
                <w:sz w:val="22"/>
                <w:szCs w:val="22"/>
              </w:rPr>
            </w:pPr>
          </w:p>
          <w:p w14:paraId="73FE5641" w14:textId="77777777" w:rsidR="00DA7C45" w:rsidRPr="00DA7C45" w:rsidRDefault="00DA7C45" w:rsidP="0099169B">
            <w:pPr>
              <w:pStyle w:val="Default"/>
              <w:rPr>
                <w:sz w:val="22"/>
                <w:szCs w:val="22"/>
              </w:rPr>
            </w:pPr>
          </w:p>
          <w:p w14:paraId="2A6EF45B" w14:textId="69DFF308" w:rsidR="0099169B" w:rsidRPr="00FF717D" w:rsidRDefault="0099169B" w:rsidP="00DA7C45">
            <w:pPr>
              <w:pStyle w:val="Default"/>
              <w:rPr>
                <w:sz w:val="22"/>
                <w:szCs w:val="22"/>
              </w:rPr>
            </w:pPr>
            <w:r w:rsidRPr="00DA7C45">
              <w:rPr>
                <w:sz w:val="22"/>
                <w:szCs w:val="22"/>
              </w:rPr>
              <w:t xml:space="preserve">Malignant pleural effusion (MPE) is a manifestation of metastatic pleural disease and management is generally focused on improving quality of life </w:t>
            </w:r>
            <w:r w:rsidR="006F5FBD">
              <w:rPr>
                <w:sz w:val="22"/>
                <w:szCs w:val="22"/>
              </w:rPr>
              <w:t>through</w:t>
            </w:r>
            <w:r w:rsidRPr="00DA7C45">
              <w:rPr>
                <w:sz w:val="22"/>
                <w:szCs w:val="22"/>
              </w:rPr>
              <w:t xml:space="preserve"> symptom reduction, prevention of recurrence, and reduction of hospital length of stay (</w:t>
            </w:r>
            <w:proofErr w:type="spellStart"/>
            <w:r w:rsidRPr="00DA7C45">
              <w:rPr>
                <w:sz w:val="22"/>
                <w:szCs w:val="22"/>
              </w:rPr>
              <w:t>LoS</w:t>
            </w:r>
            <w:proofErr w:type="spellEnd"/>
            <w:r w:rsidRPr="00DA7C45">
              <w:rPr>
                <w:sz w:val="22"/>
                <w:szCs w:val="22"/>
              </w:rPr>
              <w:t>).</w:t>
            </w:r>
            <w:r w:rsidR="00641CB8" w:rsidRPr="00DA7C45">
              <w:rPr>
                <w:sz w:val="22"/>
                <w:szCs w:val="22"/>
              </w:rPr>
              <w:t xml:space="preserve"> </w:t>
            </w:r>
            <w:r w:rsidR="005451B7" w:rsidRPr="00DA7C45">
              <w:rPr>
                <w:sz w:val="22"/>
                <w:szCs w:val="22"/>
              </w:rPr>
              <w:t xml:space="preserve">Latrobe Regional Hospital (LRH) is the main cancer referral centre for Gippsland </w:t>
            </w:r>
            <w:r w:rsidR="00897120" w:rsidRPr="00DA7C45">
              <w:rPr>
                <w:sz w:val="22"/>
                <w:szCs w:val="22"/>
              </w:rPr>
              <w:t>but t</w:t>
            </w:r>
            <w:r w:rsidR="005451B7" w:rsidRPr="00DA7C45">
              <w:rPr>
                <w:sz w:val="22"/>
                <w:szCs w:val="22"/>
              </w:rPr>
              <w:t>here is currently no formalised pathway for management of MPE</w:t>
            </w:r>
            <w:r w:rsidR="00897120" w:rsidRPr="00DA7C45">
              <w:rPr>
                <w:sz w:val="22"/>
                <w:szCs w:val="22"/>
              </w:rPr>
              <w:t xml:space="preserve"> in the region.</w:t>
            </w:r>
            <w:r w:rsidR="005451B7" w:rsidRPr="00DA7C45">
              <w:rPr>
                <w:sz w:val="22"/>
                <w:szCs w:val="22"/>
              </w:rPr>
              <w:t xml:space="preserve"> </w:t>
            </w:r>
            <w:r w:rsidR="00897120" w:rsidRPr="00DA7C45">
              <w:rPr>
                <w:sz w:val="22"/>
                <w:szCs w:val="22"/>
              </w:rPr>
              <w:t>T</w:t>
            </w:r>
            <w:r w:rsidR="005451B7" w:rsidRPr="00DA7C45">
              <w:rPr>
                <w:sz w:val="22"/>
                <w:szCs w:val="22"/>
              </w:rPr>
              <w:t xml:space="preserve">his study aims to identify </w:t>
            </w:r>
            <w:r w:rsidR="00897120" w:rsidRPr="00DA7C45">
              <w:rPr>
                <w:sz w:val="22"/>
                <w:szCs w:val="22"/>
              </w:rPr>
              <w:t xml:space="preserve">variability in management of MPE and how closely this reflects </w:t>
            </w:r>
            <w:r w:rsidR="00464586" w:rsidRPr="00DA7C45">
              <w:rPr>
                <w:sz w:val="22"/>
                <w:szCs w:val="22"/>
              </w:rPr>
              <w:t>guideline-based</w:t>
            </w:r>
            <w:r w:rsidR="00897120" w:rsidRPr="00DA7C45">
              <w:rPr>
                <w:sz w:val="22"/>
                <w:szCs w:val="22"/>
              </w:rPr>
              <w:t xml:space="preserve"> therapy.</w:t>
            </w:r>
          </w:p>
        </w:tc>
      </w:tr>
      <w:tr w:rsidR="00A12226" w:rsidRPr="00A61FD7" w14:paraId="1B3DBC64" w14:textId="77777777" w:rsidTr="004576AF">
        <w:trPr>
          <w:trHeight w:val="136"/>
          <w:jc w:val="center"/>
        </w:trPr>
        <w:tc>
          <w:tcPr>
            <w:tcW w:w="8640" w:type="dxa"/>
            <w:shd w:val="clear" w:color="auto" w:fill="auto"/>
          </w:tcPr>
          <w:p w14:paraId="7CC29191" w14:textId="26B6044D" w:rsidR="00464586" w:rsidRDefault="00A12226" w:rsidP="00A12226">
            <w:pPr>
              <w:pStyle w:val="Pa12"/>
              <w:rPr>
                <w:rStyle w:val="A4"/>
                <w:b/>
                <w:bCs/>
              </w:rPr>
            </w:pPr>
            <w:r w:rsidRPr="00FF717D">
              <w:rPr>
                <w:rStyle w:val="A4"/>
                <w:b/>
                <w:bCs/>
              </w:rPr>
              <w:t xml:space="preserve">Methods: </w:t>
            </w:r>
          </w:p>
          <w:p w14:paraId="5121948E" w14:textId="77777777" w:rsidR="00DA7C45" w:rsidRDefault="00DA7C45" w:rsidP="00DA7C45">
            <w:pPr>
              <w:pStyle w:val="Default"/>
            </w:pPr>
          </w:p>
          <w:p w14:paraId="5328440E" w14:textId="77777777" w:rsidR="00DA7C45" w:rsidRPr="00DA7C45" w:rsidRDefault="00DA7C45" w:rsidP="00DA7C45">
            <w:pPr>
              <w:pStyle w:val="Default"/>
            </w:pPr>
          </w:p>
          <w:p w14:paraId="33674137" w14:textId="1649BBA4" w:rsidR="00A12226" w:rsidRPr="00FF717D" w:rsidRDefault="005451B7" w:rsidP="00A12226">
            <w:pPr>
              <w:pStyle w:val="Pa12"/>
              <w:rPr>
                <w:rStyle w:val="A4"/>
                <w:color w:val="auto"/>
              </w:rPr>
            </w:pPr>
            <w:r w:rsidRPr="00FF717D">
              <w:rPr>
                <w:sz w:val="22"/>
                <w:szCs w:val="22"/>
              </w:rPr>
              <w:t>A</w:t>
            </w:r>
            <w:r w:rsidR="00AB27AD" w:rsidRPr="00FF717D">
              <w:rPr>
                <w:sz w:val="22"/>
                <w:szCs w:val="22"/>
              </w:rPr>
              <w:t xml:space="preserve">n </w:t>
            </w:r>
            <w:r w:rsidRPr="00FF717D">
              <w:rPr>
                <w:sz w:val="22"/>
                <w:szCs w:val="22"/>
              </w:rPr>
              <w:t>audit was done of all inpatients at LRH who underwent intervention for MPE between 1</w:t>
            </w:r>
            <w:r w:rsidRPr="00DA7C45">
              <w:rPr>
                <w:sz w:val="22"/>
                <w:szCs w:val="22"/>
                <w:vertAlign w:val="superscript"/>
              </w:rPr>
              <w:t>st</w:t>
            </w:r>
            <w:r w:rsidRPr="00FF717D">
              <w:rPr>
                <w:sz w:val="22"/>
                <w:szCs w:val="22"/>
              </w:rPr>
              <w:t xml:space="preserve"> Jan 2023 and 30</w:t>
            </w:r>
            <w:r w:rsidRPr="00DA7C45">
              <w:rPr>
                <w:sz w:val="22"/>
                <w:szCs w:val="22"/>
                <w:vertAlign w:val="superscript"/>
              </w:rPr>
              <w:t>th</w:t>
            </w:r>
            <w:r w:rsidRPr="00FF717D">
              <w:rPr>
                <w:sz w:val="22"/>
                <w:szCs w:val="22"/>
              </w:rPr>
              <w:t xml:space="preserve"> June 202</w:t>
            </w:r>
            <w:r w:rsidR="00AB27AD" w:rsidRPr="00FF717D">
              <w:rPr>
                <w:sz w:val="22"/>
                <w:szCs w:val="22"/>
              </w:rPr>
              <w:t xml:space="preserve">3. Data was collected retrospectively from electronic medical records. </w:t>
            </w:r>
            <w:r w:rsidR="00464586" w:rsidRPr="00FF717D">
              <w:rPr>
                <w:sz w:val="22"/>
                <w:szCs w:val="22"/>
              </w:rPr>
              <w:t xml:space="preserve">Episode (primary vs. recurrent), type of intervention, time to intervention, average </w:t>
            </w:r>
            <w:proofErr w:type="spellStart"/>
            <w:r w:rsidR="00464586" w:rsidRPr="00FF717D">
              <w:rPr>
                <w:sz w:val="22"/>
                <w:szCs w:val="22"/>
              </w:rPr>
              <w:t>LoS</w:t>
            </w:r>
            <w:proofErr w:type="spellEnd"/>
            <w:r w:rsidR="00464586" w:rsidRPr="00FF717D">
              <w:rPr>
                <w:sz w:val="22"/>
                <w:szCs w:val="22"/>
              </w:rPr>
              <w:t>, post-procedural management, and procedural complications were evaluated.</w:t>
            </w:r>
          </w:p>
        </w:tc>
      </w:tr>
      <w:tr w:rsidR="00A12226" w:rsidRPr="00A61FD7" w14:paraId="0B85CE60" w14:textId="77777777" w:rsidTr="004576AF">
        <w:trPr>
          <w:trHeight w:val="136"/>
          <w:jc w:val="center"/>
        </w:trPr>
        <w:tc>
          <w:tcPr>
            <w:tcW w:w="8640" w:type="dxa"/>
            <w:shd w:val="clear" w:color="auto" w:fill="auto"/>
          </w:tcPr>
          <w:p w14:paraId="2531CC34" w14:textId="0C4DE434" w:rsidR="00A12226" w:rsidRPr="00FF717D" w:rsidRDefault="00A12226" w:rsidP="00A12226">
            <w:pPr>
              <w:pStyle w:val="Pa12"/>
              <w:rPr>
                <w:b/>
                <w:bCs/>
                <w:color w:val="000000"/>
                <w:sz w:val="22"/>
                <w:szCs w:val="22"/>
              </w:rPr>
            </w:pPr>
            <w:r w:rsidRPr="00FF717D">
              <w:rPr>
                <w:rStyle w:val="A4"/>
                <w:b/>
                <w:bCs/>
              </w:rPr>
              <w:t xml:space="preserve">Results: </w:t>
            </w:r>
          </w:p>
          <w:p w14:paraId="5D8DA405" w14:textId="77777777" w:rsidR="00987D46" w:rsidRDefault="00987D46" w:rsidP="00A12226">
            <w:pPr>
              <w:pStyle w:val="Default"/>
              <w:rPr>
                <w:sz w:val="22"/>
                <w:szCs w:val="22"/>
              </w:rPr>
            </w:pPr>
          </w:p>
          <w:p w14:paraId="6B30032D" w14:textId="77777777" w:rsidR="00DA7C45" w:rsidRPr="00DA7C45" w:rsidRDefault="00DA7C45" w:rsidP="00A12226">
            <w:pPr>
              <w:pStyle w:val="Default"/>
              <w:rPr>
                <w:sz w:val="22"/>
                <w:szCs w:val="22"/>
              </w:rPr>
            </w:pPr>
          </w:p>
          <w:p w14:paraId="61585586" w14:textId="3D6B6EFD" w:rsidR="006B1922" w:rsidRPr="00DA7C45" w:rsidRDefault="00464586" w:rsidP="00A12226">
            <w:pPr>
              <w:pStyle w:val="Default"/>
              <w:rPr>
                <w:sz w:val="22"/>
                <w:szCs w:val="22"/>
              </w:rPr>
            </w:pPr>
            <w:r w:rsidRPr="00DA7C45">
              <w:rPr>
                <w:sz w:val="22"/>
                <w:szCs w:val="22"/>
              </w:rPr>
              <w:t xml:space="preserve">Between January 2023 and June 2023, 33 patients underwent MPE intervention as an inpatient at LRH. 39.4% (n=13) were first episode MPE and 60.6% (n=20) were recurrent MPE. 92.3% (n=12) of first episode MPE and 45% (n=9) of recurrent MPE had ICC insertion as the sole intervention. </w:t>
            </w:r>
            <w:r w:rsidR="006B1922" w:rsidRPr="00DA7C45">
              <w:rPr>
                <w:sz w:val="22"/>
                <w:szCs w:val="22"/>
              </w:rPr>
              <w:t>7.7% (n=1) of first episode MPE had ICC insertion followed by VATS compared to 10% (n=2) of recurrent MPE.</w:t>
            </w:r>
            <w:r w:rsidR="00A01706" w:rsidRPr="00DA7C45">
              <w:rPr>
                <w:sz w:val="22"/>
                <w:szCs w:val="22"/>
              </w:rPr>
              <w:t xml:space="preserve"> </w:t>
            </w:r>
            <w:r w:rsidR="006B1922" w:rsidRPr="00DA7C45">
              <w:rPr>
                <w:sz w:val="22"/>
                <w:szCs w:val="22"/>
              </w:rPr>
              <w:t>Cumulatively between both groups, only one patient with recurrent MPE had indwelling pleural catheter (IPC) insertion</w:t>
            </w:r>
            <w:r w:rsidR="007562DD" w:rsidRPr="00DA7C45">
              <w:rPr>
                <w:sz w:val="22"/>
                <w:szCs w:val="22"/>
              </w:rPr>
              <w:t>.</w:t>
            </w:r>
          </w:p>
          <w:p w14:paraId="4CC5DF5C" w14:textId="77777777" w:rsidR="006B1922" w:rsidRPr="00DA7C45" w:rsidRDefault="006B1922" w:rsidP="00A12226">
            <w:pPr>
              <w:pStyle w:val="Default"/>
              <w:rPr>
                <w:sz w:val="22"/>
                <w:szCs w:val="22"/>
              </w:rPr>
            </w:pPr>
          </w:p>
          <w:p w14:paraId="48FC20DE" w14:textId="1916F5BB" w:rsidR="00464586" w:rsidRPr="00FF717D" w:rsidRDefault="006B1922" w:rsidP="00A12226">
            <w:pPr>
              <w:pStyle w:val="Default"/>
              <w:rPr>
                <w:rStyle w:val="A4"/>
              </w:rPr>
            </w:pPr>
            <w:r w:rsidRPr="00FF717D">
              <w:rPr>
                <w:sz w:val="22"/>
                <w:szCs w:val="22"/>
              </w:rPr>
              <w:t>The average length of stay was 7.24 days and the average time to intervention</w:t>
            </w:r>
            <w:r w:rsidR="00A01706" w:rsidRPr="00FF717D">
              <w:rPr>
                <w:sz w:val="22"/>
                <w:szCs w:val="22"/>
              </w:rPr>
              <w:t xml:space="preserve"> </w:t>
            </w:r>
            <w:r w:rsidRPr="00FF717D">
              <w:rPr>
                <w:sz w:val="22"/>
                <w:szCs w:val="22"/>
              </w:rPr>
              <w:t>7.27 days.</w:t>
            </w:r>
            <w:r w:rsidRPr="00DA7C45">
              <w:rPr>
                <w:sz w:val="22"/>
                <w:szCs w:val="22"/>
              </w:rPr>
              <w:t xml:space="preserve"> </w:t>
            </w:r>
            <w:r w:rsidR="00464586" w:rsidRPr="00DA7C45">
              <w:rPr>
                <w:sz w:val="22"/>
                <w:szCs w:val="22"/>
              </w:rPr>
              <w:t>Pleural fluid was not</w:t>
            </w:r>
            <w:r w:rsidRPr="00DA7C45">
              <w:rPr>
                <w:sz w:val="22"/>
                <w:szCs w:val="22"/>
              </w:rPr>
              <w:t xml:space="preserve"> </w:t>
            </w:r>
            <w:r w:rsidR="00464586" w:rsidRPr="00DA7C45">
              <w:rPr>
                <w:sz w:val="22"/>
                <w:szCs w:val="22"/>
              </w:rPr>
              <w:t>consistently sent for pathology – 48.5% (n=</w:t>
            </w:r>
            <w:r w:rsidR="003D23FF">
              <w:rPr>
                <w:sz w:val="22"/>
                <w:szCs w:val="22"/>
              </w:rPr>
              <w:t>16</w:t>
            </w:r>
            <w:r w:rsidR="00464586" w:rsidRPr="00DA7C45">
              <w:rPr>
                <w:sz w:val="22"/>
                <w:szCs w:val="22"/>
              </w:rPr>
              <w:t>) for biochemistry and 57.6% (n=</w:t>
            </w:r>
            <w:r w:rsidR="003D23FF">
              <w:rPr>
                <w:sz w:val="22"/>
                <w:szCs w:val="22"/>
              </w:rPr>
              <w:t>19</w:t>
            </w:r>
            <w:r w:rsidR="00464586" w:rsidRPr="00DA7C45">
              <w:rPr>
                <w:sz w:val="22"/>
                <w:szCs w:val="22"/>
              </w:rPr>
              <w:t>) for cytology.</w:t>
            </w:r>
            <w:r w:rsidR="00E06454" w:rsidRPr="00DA7C45">
              <w:rPr>
                <w:sz w:val="22"/>
                <w:szCs w:val="22"/>
              </w:rPr>
              <w:t xml:space="preserve"> </w:t>
            </w:r>
            <w:r w:rsidR="00DC54C3" w:rsidRPr="00DA7C45">
              <w:rPr>
                <w:sz w:val="22"/>
                <w:szCs w:val="22"/>
              </w:rPr>
              <w:t>Post-procedurally for the</w:t>
            </w:r>
            <w:r w:rsidR="00E06454" w:rsidRPr="00DA7C45">
              <w:rPr>
                <w:sz w:val="22"/>
                <w:szCs w:val="22"/>
              </w:rPr>
              <w:t xml:space="preserve"> sole ICC group</w:t>
            </w:r>
            <w:r w:rsidR="00DC54C3" w:rsidRPr="00DA7C45">
              <w:rPr>
                <w:sz w:val="22"/>
                <w:szCs w:val="22"/>
              </w:rPr>
              <w:t>,</w:t>
            </w:r>
            <w:r w:rsidR="00E06454" w:rsidRPr="00DA7C45">
              <w:rPr>
                <w:sz w:val="22"/>
                <w:szCs w:val="22"/>
              </w:rPr>
              <w:t xml:space="preserve"> 63.6% (n=</w:t>
            </w:r>
            <w:r w:rsidR="003D23FF">
              <w:rPr>
                <w:sz w:val="22"/>
                <w:szCs w:val="22"/>
              </w:rPr>
              <w:t>21</w:t>
            </w:r>
            <w:r w:rsidR="00E06454" w:rsidRPr="00DA7C45">
              <w:rPr>
                <w:sz w:val="22"/>
                <w:szCs w:val="22"/>
              </w:rPr>
              <w:t xml:space="preserve">) had a chest </w:t>
            </w:r>
            <w:proofErr w:type="spellStart"/>
            <w:r w:rsidR="00E06454" w:rsidRPr="00DA7C45">
              <w:rPr>
                <w:sz w:val="22"/>
                <w:szCs w:val="22"/>
              </w:rPr>
              <w:t>xray</w:t>
            </w:r>
            <w:proofErr w:type="spellEnd"/>
            <w:r w:rsidR="00DC54C3" w:rsidRPr="00DA7C45">
              <w:rPr>
                <w:sz w:val="22"/>
                <w:szCs w:val="22"/>
              </w:rPr>
              <w:t xml:space="preserve">, </w:t>
            </w:r>
            <w:r w:rsidR="00E06454" w:rsidRPr="00DA7C45">
              <w:rPr>
                <w:sz w:val="22"/>
                <w:szCs w:val="22"/>
              </w:rPr>
              <w:t>54.5% (n=</w:t>
            </w:r>
            <w:r w:rsidR="003D23FF">
              <w:rPr>
                <w:sz w:val="22"/>
                <w:szCs w:val="22"/>
              </w:rPr>
              <w:t>18</w:t>
            </w:r>
            <w:r w:rsidR="00E06454" w:rsidRPr="00DA7C45">
              <w:rPr>
                <w:sz w:val="22"/>
                <w:szCs w:val="22"/>
              </w:rPr>
              <w:t>) had drain output documented</w:t>
            </w:r>
            <w:r w:rsidR="00DC54C3" w:rsidRPr="00DA7C45">
              <w:rPr>
                <w:sz w:val="22"/>
                <w:szCs w:val="22"/>
              </w:rPr>
              <w:t>, and 9.1% (n=</w:t>
            </w:r>
            <w:r w:rsidR="003D23FF">
              <w:rPr>
                <w:sz w:val="22"/>
                <w:szCs w:val="22"/>
              </w:rPr>
              <w:t>3</w:t>
            </w:r>
            <w:r w:rsidR="00DC54C3" w:rsidRPr="00DA7C45">
              <w:rPr>
                <w:sz w:val="22"/>
                <w:szCs w:val="22"/>
              </w:rPr>
              <w:t>) developed a pneumothorax.</w:t>
            </w:r>
          </w:p>
        </w:tc>
      </w:tr>
      <w:tr w:rsidR="00A12226" w:rsidRPr="00A61FD7" w14:paraId="692D6165" w14:textId="77777777" w:rsidTr="004576AF">
        <w:trPr>
          <w:trHeight w:val="136"/>
          <w:jc w:val="center"/>
        </w:trPr>
        <w:tc>
          <w:tcPr>
            <w:tcW w:w="8640" w:type="dxa"/>
            <w:shd w:val="clear" w:color="auto" w:fill="auto"/>
          </w:tcPr>
          <w:p w14:paraId="266F15ED" w14:textId="77777777" w:rsidR="00A12226" w:rsidRPr="00FF717D" w:rsidRDefault="00A12226" w:rsidP="00A12226">
            <w:pPr>
              <w:pStyle w:val="Pa12"/>
              <w:rPr>
                <w:rStyle w:val="A4"/>
                <w:b/>
                <w:bCs/>
              </w:rPr>
            </w:pPr>
            <w:r w:rsidRPr="00FF717D">
              <w:rPr>
                <w:rStyle w:val="A4"/>
                <w:b/>
                <w:bCs/>
              </w:rPr>
              <w:t xml:space="preserve">Conclusion: </w:t>
            </w:r>
          </w:p>
          <w:p w14:paraId="24FD3675" w14:textId="77777777" w:rsidR="00A01706" w:rsidRDefault="00A01706" w:rsidP="00A12226">
            <w:pPr>
              <w:rPr>
                <w:rStyle w:val="A4"/>
                <w:rFonts w:ascii="Arial" w:hAnsi="Arial" w:cs="Arial"/>
                <w:bCs/>
              </w:rPr>
            </w:pPr>
          </w:p>
          <w:p w14:paraId="36F29967" w14:textId="77777777" w:rsidR="00DA7C45" w:rsidRPr="00FF717D" w:rsidRDefault="00DA7C45" w:rsidP="00A12226">
            <w:pPr>
              <w:rPr>
                <w:rStyle w:val="A4"/>
                <w:rFonts w:ascii="Arial" w:hAnsi="Arial" w:cs="Arial"/>
                <w:bCs/>
              </w:rPr>
            </w:pPr>
          </w:p>
          <w:p w14:paraId="05109B95" w14:textId="7DBB7D2C" w:rsidR="007562DD" w:rsidRPr="00FF717D" w:rsidRDefault="007562DD" w:rsidP="00A12226">
            <w:pPr>
              <w:rPr>
                <w:rStyle w:val="A4"/>
                <w:rFonts w:ascii="Arial" w:hAnsi="Arial" w:cs="Arial"/>
                <w:bCs/>
              </w:rPr>
            </w:pPr>
            <w:r w:rsidRPr="00FF717D">
              <w:rPr>
                <w:rStyle w:val="A4"/>
                <w:rFonts w:ascii="Arial" w:hAnsi="Arial" w:cs="Arial"/>
                <w:bCs/>
              </w:rPr>
              <w:t xml:space="preserve">There is significant variability and guideline discordance in the management of MPE in Gippsland. Areas for improvement include the development of local protocols, appropriate assessment of pleural fluid, and standardised post-procedural management. Limited local availability of </w:t>
            </w:r>
            <w:r w:rsidR="00FA0B7D" w:rsidRPr="00FF717D">
              <w:rPr>
                <w:rStyle w:val="A4"/>
                <w:rFonts w:ascii="Arial" w:hAnsi="Arial" w:cs="Arial"/>
                <w:bCs/>
              </w:rPr>
              <w:t>thoracic</w:t>
            </w:r>
            <w:r w:rsidRPr="00FF717D">
              <w:rPr>
                <w:rStyle w:val="A4"/>
                <w:rFonts w:ascii="Arial" w:hAnsi="Arial" w:cs="Arial"/>
                <w:bCs/>
              </w:rPr>
              <w:t xml:space="preserve"> services remain</w:t>
            </w:r>
            <w:r w:rsidR="00FA0B7D" w:rsidRPr="00FF717D">
              <w:rPr>
                <w:rStyle w:val="A4"/>
                <w:rFonts w:ascii="Arial" w:hAnsi="Arial" w:cs="Arial"/>
                <w:bCs/>
              </w:rPr>
              <w:t>s</w:t>
            </w:r>
            <w:r w:rsidRPr="00FF717D">
              <w:rPr>
                <w:rStyle w:val="A4"/>
                <w:rFonts w:ascii="Arial" w:hAnsi="Arial" w:cs="Arial"/>
                <w:bCs/>
              </w:rPr>
              <w:t xml:space="preserve"> a challenge in definitive MPE management.</w:t>
            </w:r>
          </w:p>
        </w:tc>
      </w:tr>
      <w:tr w:rsidR="00A12226" w:rsidRPr="00A61FD7" w14:paraId="2D1F7A4F" w14:textId="77777777" w:rsidTr="00D02CFE">
        <w:trPr>
          <w:trHeight w:val="88"/>
          <w:jc w:val="center"/>
        </w:trPr>
        <w:tc>
          <w:tcPr>
            <w:tcW w:w="8640" w:type="dxa"/>
            <w:shd w:val="clear" w:color="auto" w:fill="auto"/>
          </w:tcPr>
          <w:p w14:paraId="70EC1CF3" w14:textId="4477739C" w:rsidR="00A12226" w:rsidRPr="00FF717D" w:rsidRDefault="00A12226" w:rsidP="00A12226">
            <w:pPr>
              <w:pStyle w:val="Pa12"/>
              <w:rPr>
                <w:rStyle w:val="A4"/>
              </w:rPr>
            </w:pPr>
            <w:r w:rsidRPr="00FF717D">
              <w:rPr>
                <w:rStyle w:val="A4"/>
                <w:b/>
                <w:bCs/>
              </w:rPr>
              <w:t xml:space="preserve">Grant support: </w:t>
            </w:r>
            <w:r w:rsidRPr="00FF717D">
              <w:rPr>
                <w:rStyle w:val="A4"/>
              </w:rPr>
              <w:t>Nil</w:t>
            </w:r>
          </w:p>
        </w:tc>
      </w:tr>
    </w:tbl>
    <w:p w14:paraId="789A041E" w14:textId="65EB6176" w:rsidR="00C7036E" w:rsidRPr="00A61FD7" w:rsidRDefault="00C7036E" w:rsidP="00DF76B1">
      <w:pPr>
        <w:pStyle w:val="Default"/>
        <w:rPr>
          <w:sz w:val="22"/>
          <w:szCs w:val="22"/>
        </w:rPr>
      </w:pPr>
    </w:p>
    <w:sectPr w:rsidR="00C7036E" w:rsidRPr="00A61F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tlas Grotesk Regular">
    <w:altName w:val="Calibri"/>
    <w:panose1 w:val="020B0604020202020204"/>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B0"/>
    <w:rsid w:val="00021B6B"/>
    <w:rsid w:val="000A6F15"/>
    <w:rsid w:val="0010424A"/>
    <w:rsid w:val="0011468A"/>
    <w:rsid w:val="00126CD4"/>
    <w:rsid w:val="00216112"/>
    <w:rsid w:val="002E17C3"/>
    <w:rsid w:val="002F60FE"/>
    <w:rsid w:val="003D23FF"/>
    <w:rsid w:val="003D5E3A"/>
    <w:rsid w:val="003F04C6"/>
    <w:rsid w:val="00464586"/>
    <w:rsid w:val="00470527"/>
    <w:rsid w:val="005451B7"/>
    <w:rsid w:val="00576B11"/>
    <w:rsid w:val="00602787"/>
    <w:rsid w:val="00607638"/>
    <w:rsid w:val="00641CB8"/>
    <w:rsid w:val="006B1922"/>
    <w:rsid w:val="006D0E28"/>
    <w:rsid w:val="006F3534"/>
    <w:rsid w:val="006F5FBD"/>
    <w:rsid w:val="00745006"/>
    <w:rsid w:val="007562DD"/>
    <w:rsid w:val="00764E86"/>
    <w:rsid w:val="007A32D3"/>
    <w:rsid w:val="007A6C1C"/>
    <w:rsid w:val="007D0661"/>
    <w:rsid w:val="007F3769"/>
    <w:rsid w:val="00897120"/>
    <w:rsid w:val="008F5088"/>
    <w:rsid w:val="009711FD"/>
    <w:rsid w:val="00987D46"/>
    <w:rsid w:val="0099169B"/>
    <w:rsid w:val="00A01706"/>
    <w:rsid w:val="00A12226"/>
    <w:rsid w:val="00A61FD7"/>
    <w:rsid w:val="00AB27AD"/>
    <w:rsid w:val="00C0387D"/>
    <w:rsid w:val="00C7036E"/>
    <w:rsid w:val="00C87405"/>
    <w:rsid w:val="00D02CFE"/>
    <w:rsid w:val="00D17EE2"/>
    <w:rsid w:val="00DA7C45"/>
    <w:rsid w:val="00DC54C3"/>
    <w:rsid w:val="00DF76B1"/>
    <w:rsid w:val="00E06454"/>
    <w:rsid w:val="00E32D9B"/>
    <w:rsid w:val="00ED06B0"/>
    <w:rsid w:val="00FA0B7D"/>
    <w:rsid w:val="00FB4B82"/>
    <w:rsid w:val="00FF71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74C0"/>
  <w15:chartTrackingRefBased/>
  <w15:docId w15:val="{188AE821-93A5-9C48-9D4D-CD68A6C2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B0"/>
    <w:rPr>
      <w:rFonts w:ascii="Times New Roman" w:eastAsia="Times New Roman" w:hAnsi="Times New Roman" w:cs="Times New Roman"/>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06B0"/>
    <w:pPr>
      <w:autoSpaceDE w:val="0"/>
      <w:autoSpaceDN w:val="0"/>
      <w:adjustRightInd w:val="0"/>
    </w:pPr>
    <w:rPr>
      <w:rFonts w:ascii="Arial" w:eastAsia="Times New Roman" w:hAnsi="Arial" w:cs="Arial"/>
      <w:color w:val="000000"/>
      <w:kern w:val="0"/>
      <w:lang w:val="en-NZ" w:eastAsia="en-NZ"/>
      <w14:ligatures w14:val="none"/>
    </w:rPr>
  </w:style>
  <w:style w:type="character" w:customStyle="1" w:styleId="A4">
    <w:name w:val="A4"/>
    <w:uiPriority w:val="99"/>
    <w:rsid w:val="00ED06B0"/>
    <w:rPr>
      <w:color w:val="000000"/>
      <w:sz w:val="22"/>
      <w:szCs w:val="22"/>
    </w:rPr>
  </w:style>
  <w:style w:type="paragraph" w:customStyle="1" w:styleId="Pa12">
    <w:name w:val="Pa12"/>
    <w:basedOn w:val="Default"/>
    <w:next w:val="Default"/>
    <w:uiPriority w:val="99"/>
    <w:rsid w:val="00ED06B0"/>
    <w:pPr>
      <w:spacing w:line="241" w:lineRule="atLeast"/>
    </w:pPr>
    <w:rPr>
      <w:color w:val="auto"/>
    </w:rPr>
  </w:style>
  <w:style w:type="table" w:styleId="GridTable2-Accent5">
    <w:name w:val="Grid Table 2 Accent 5"/>
    <w:basedOn w:val="TableNormal"/>
    <w:uiPriority w:val="47"/>
    <w:rsid w:val="00FB4B82"/>
    <w:rPr>
      <w:rFonts w:ascii="Atlas Grotesk Regular" w:hAnsi="Atlas Grotesk Regular"/>
      <w:kern w:val="0"/>
      <w:sz w:val="20"/>
      <w:szCs w:val="20"/>
      <w:lang w:val="en-NZ"/>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99169B"/>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92C83-14FE-4645-803B-4FE37FBB9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Yap</dc:creator>
  <cp:keywords/>
  <dc:description/>
  <cp:lastModifiedBy>Grace Yap</cp:lastModifiedBy>
  <cp:revision>9</cp:revision>
  <dcterms:created xsi:type="dcterms:W3CDTF">2023-10-17T00:31:00Z</dcterms:created>
  <dcterms:modified xsi:type="dcterms:W3CDTF">2023-10-17T04:26:00Z</dcterms:modified>
</cp:coreProperties>
</file>