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30927D94" w14:textId="72CCF2E5" w:rsidR="00277581" w:rsidRPr="00277581" w:rsidRDefault="00277581" w:rsidP="00D923B4">
            <w:pPr>
              <w:rPr>
                <w:rFonts w:ascii="Arial" w:hAnsi="Arial" w:cs="Arial"/>
                <w:i/>
                <w:iCs/>
                <w:sz w:val="22"/>
                <w:szCs w:val="22"/>
                <w:lang w:val="en-CA"/>
              </w:rPr>
            </w:pPr>
            <w:r w:rsidRPr="00277581">
              <w:rPr>
                <w:rFonts w:ascii="Arial" w:hAnsi="Arial" w:cs="Arial"/>
                <w:i/>
                <w:iCs/>
                <w:sz w:val="22"/>
                <w:szCs w:val="22"/>
                <w:lang w:val="en-CA"/>
              </w:rPr>
              <w:t>Paper</w:t>
            </w:r>
          </w:p>
          <w:p w14:paraId="7C8555DF" w14:textId="77777777" w:rsidR="00C8423A" w:rsidRDefault="00D923B4" w:rsidP="00D923B4">
            <w:pPr>
              <w:rPr>
                <w:rFonts w:ascii="Arial" w:hAnsi="Arial" w:cs="Arial"/>
                <w:b/>
                <w:bCs/>
                <w:sz w:val="22"/>
                <w:szCs w:val="22"/>
                <w:lang w:val="en-CA"/>
              </w:rPr>
            </w:pPr>
            <w:r w:rsidRPr="00D923B4">
              <w:rPr>
                <w:rFonts w:ascii="Arial" w:hAnsi="Arial" w:cs="Arial"/>
                <w:b/>
                <w:bCs/>
                <w:sz w:val="22"/>
                <w:szCs w:val="22"/>
                <w:lang w:val="en-CA"/>
              </w:rPr>
              <w:t xml:space="preserve">Restoring </w:t>
            </w:r>
            <w:r>
              <w:rPr>
                <w:rFonts w:ascii="Arial" w:hAnsi="Arial" w:cs="Arial"/>
                <w:b/>
                <w:bCs/>
                <w:sz w:val="22"/>
                <w:szCs w:val="22"/>
                <w:lang w:val="en-CA"/>
              </w:rPr>
              <w:t>Rangatiratanga</w:t>
            </w:r>
            <w:r w:rsidRPr="00D923B4">
              <w:rPr>
                <w:rFonts w:ascii="Arial" w:hAnsi="Arial" w:cs="Arial"/>
                <w:b/>
                <w:bCs/>
                <w:sz w:val="22"/>
                <w:szCs w:val="22"/>
                <w:lang w:val="en-CA"/>
              </w:rPr>
              <w:t>: Indigenous-Led Approaches to Climate Resilience and Floodplain Management</w:t>
            </w:r>
          </w:p>
          <w:p w14:paraId="3F7D1534" w14:textId="7EC6ED82" w:rsidR="00277581" w:rsidRPr="009C75AE" w:rsidRDefault="00277581" w:rsidP="00D923B4">
            <w:pPr>
              <w:rPr>
                <w:rFonts w:ascii="Arial" w:hAnsi="Arial" w:cs="Arial"/>
                <w:b/>
                <w:bCs/>
                <w:sz w:val="22"/>
                <w:szCs w:val="22"/>
              </w:rPr>
            </w:pPr>
          </w:p>
        </w:tc>
      </w:tr>
      <w:tr w:rsidR="00C8423A" w:rsidRPr="0003525D" w14:paraId="1A1C8C63" w14:textId="77777777" w:rsidTr="002F6219">
        <w:trPr>
          <w:trHeight w:val="2400"/>
        </w:trPr>
        <w:tc>
          <w:tcPr>
            <w:tcW w:w="8640" w:type="dxa"/>
          </w:tcPr>
          <w:p w14:paraId="131A5F05" w14:textId="50BC62EE" w:rsidR="0065012F" w:rsidRDefault="0065012F" w:rsidP="00706DED">
            <w:pPr>
              <w:jc w:val="both"/>
              <w:rPr>
                <w:rFonts w:ascii="Arial" w:hAnsi="Arial" w:cs="Arial"/>
                <w:b/>
                <w:sz w:val="22"/>
                <w:szCs w:val="22"/>
              </w:rPr>
            </w:pPr>
            <w:r w:rsidRPr="0065012F">
              <w:rPr>
                <w:rFonts w:ascii="Arial" w:hAnsi="Arial" w:cs="Arial"/>
                <w:b/>
                <w:sz w:val="22"/>
                <w:szCs w:val="22"/>
              </w:rPr>
              <w:t>Introduction</w:t>
            </w:r>
            <w:r w:rsidR="00F56A67">
              <w:rPr>
                <w:rFonts w:ascii="Arial" w:hAnsi="Arial" w:cs="Arial"/>
                <w:b/>
                <w:sz w:val="22"/>
                <w:szCs w:val="22"/>
              </w:rPr>
              <w:t>:</w:t>
            </w:r>
          </w:p>
          <w:p w14:paraId="3A557A8B" w14:textId="77777777" w:rsidR="00F56A67" w:rsidRPr="00307E2A" w:rsidRDefault="00F56A67" w:rsidP="00F56A67">
            <w:pPr>
              <w:rPr>
                <w:rFonts w:ascii="Arial" w:hAnsi="Arial" w:cs="Arial"/>
                <w:bCs/>
                <w:sz w:val="22"/>
                <w:szCs w:val="22"/>
                <w:lang w:val="en-CA"/>
              </w:rPr>
            </w:pPr>
            <w:r w:rsidRPr="00307E2A">
              <w:rPr>
                <w:rFonts w:ascii="Arial" w:hAnsi="Arial" w:cs="Arial"/>
                <w:bCs/>
                <w:sz w:val="22"/>
                <w:szCs w:val="22"/>
                <w:lang w:val="en-CA"/>
              </w:rPr>
              <w:t xml:space="preserve">Māori have long maintained a deep and reciprocal relationship with the natural environment, guided by mātauranga Māori and tikanga (customary practices). Mahinga kai (the traditional food and gathering systems) is central to this connection, embodying intergenerational knowledge and sustainable environmental stewardship (kaitiakitanga). </w:t>
            </w:r>
          </w:p>
          <w:p w14:paraId="641977C2" w14:textId="77777777" w:rsidR="00F56A67" w:rsidRPr="00307E2A" w:rsidRDefault="00F56A67" w:rsidP="00F56A67">
            <w:pPr>
              <w:rPr>
                <w:rFonts w:ascii="Arial" w:hAnsi="Arial" w:cs="Arial"/>
                <w:bCs/>
                <w:sz w:val="22"/>
                <w:szCs w:val="22"/>
                <w:lang w:val="en-CA"/>
              </w:rPr>
            </w:pPr>
          </w:p>
          <w:p w14:paraId="4806BFDB" w14:textId="11FAD516" w:rsidR="0065012F" w:rsidRDefault="00F56A67" w:rsidP="00F56A67">
            <w:pPr>
              <w:rPr>
                <w:rFonts w:ascii="Arial" w:hAnsi="Arial" w:cs="Arial"/>
                <w:bCs/>
                <w:sz w:val="22"/>
                <w:szCs w:val="22"/>
                <w:lang w:val="en-CA"/>
              </w:rPr>
            </w:pPr>
            <w:r w:rsidRPr="00307E2A">
              <w:rPr>
                <w:rFonts w:ascii="Arial" w:hAnsi="Arial" w:cs="Arial"/>
                <w:bCs/>
                <w:sz w:val="22"/>
                <w:szCs w:val="22"/>
                <w:lang w:val="en-CA"/>
              </w:rPr>
              <w:t xml:space="preserve">As Aotearoa faces increasing climate challenges, indigenous-led approaches that integrate mātauranga Māori and mahinga kai principles with water quality and biodiversity goals are proving essential for adaptive and resilient landscape management. However, these approaches continue to be constrained by </w:t>
            </w:r>
            <w:r w:rsidR="00307E2A" w:rsidRPr="00307E2A">
              <w:rPr>
                <w:rFonts w:ascii="Arial" w:hAnsi="Arial" w:cs="Arial"/>
                <w:bCs/>
                <w:sz w:val="22"/>
                <w:szCs w:val="22"/>
                <w:lang w:val="en-CA"/>
              </w:rPr>
              <w:t>land ownership,</w:t>
            </w:r>
            <w:r w:rsidRPr="00307E2A">
              <w:rPr>
                <w:rFonts w:ascii="Arial" w:hAnsi="Arial" w:cs="Arial"/>
                <w:bCs/>
                <w:sz w:val="22"/>
                <w:szCs w:val="22"/>
                <w:lang w:val="en-CA"/>
              </w:rPr>
              <w:t xml:space="preserve"> land use policies, legal restrictions, and underfunding.</w:t>
            </w:r>
          </w:p>
          <w:p w14:paraId="230688F5" w14:textId="77777777" w:rsidR="00F56A67" w:rsidRDefault="00F56A67" w:rsidP="00706DED">
            <w:pPr>
              <w:jc w:val="both"/>
              <w:rPr>
                <w:rFonts w:ascii="Arial" w:hAnsi="Arial" w:cs="Arial"/>
                <w:b/>
                <w:sz w:val="22"/>
                <w:szCs w:val="22"/>
              </w:rPr>
            </w:pPr>
          </w:p>
          <w:p w14:paraId="5DE13B32" w14:textId="666E0A36"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r w:rsidR="00F56A67">
              <w:rPr>
                <w:rFonts w:ascii="Arial" w:hAnsi="Arial" w:cs="Arial"/>
                <w:b/>
                <w:sz w:val="22"/>
                <w:szCs w:val="22"/>
              </w:rPr>
              <w:t>:</w:t>
            </w:r>
          </w:p>
          <w:p w14:paraId="416EE093" w14:textId="7BC07344" w:rsidR="00307E2A" w:rsidRPr="00307E2A" w:rsidRDefault="00307E2A" w:rsidP="00307E2A">
            <w:pPr>
              <w:rPr>
                <w:rFonts w:ascii="Arial" w:hAnsi="Arial" w:cs="Arial"/>
                <w:bCs/>
                <w:sz w:val="22"/>
                <w:szCs w:val="22"/>
              </w:rPr>
            </w:pPr>
            <w:r w:rsidRPr="00307E2A">
              <w:rPr>
                <w:rFonts w:ascii="Arial" w:hAnsi="Arial" w:cs="Arial"/>
                <w:bCs/>
                <w:sz w:val="22"/>
                <w:szCs w:val="22"/>
              </w:rPr>
              <w:t xml:space="preserve">This presentation </w:t>
            </w:r>
            <w:r w:rsidRPr="00DE1AC7">
              <w:rPr>
                <w:rFonts w:ascii="Arial" w:hAnsi="Arial" w:cs="Arial"/>
                <w:bCs/>
                <w:sz w:val="22"/>
                <w:szCs w:val="22"/>
              </w:rPr>
              <w:t>draws on Boffa Miskell project examples that showcase</w:t>
            </w:r>
            <w:r w:rsidRPr="00307E2A">
              <w:rPr>
                <w:rFonts w:ascii="Arial" w:hAnsi="Arial" w:cs="Arial"/>
                <w:bCs/>
                <w:sz w:val="22"/>
                <w:szCs w:val="22"/>
              </w:rPr>
              <w:t xml:space="preserve"> how </w:t>
            </w:r>
            <w:r w:rsidRPr="00DE1AC7">
              <w:rPr>
                <w:rFonts w:ascii="Arial" w:hAnsi="Arial" w:cs="Arial"/>
                <w:bCs/>
                <w:sz w:val="22"/>
                <w:szCs w:val="22"/>
              </w:rPr>
              <w:t xml:space="preserve">iwi, rūnanga and </w:t>
            </w:r>
            <w:r w:rsidRPr="00307E2A">
              <w:rPr>
                <w:rFonts w:ascii="Arial" w:hAnsi="Arial" w:cs="Arial"/>
                <w:bCs/>
                <w:sz w:val="22"/>
                <w:szCs w:val="22"/>
              </w:rPr>
              <w:t xml:space="preserve">hapū </w:t>
            </w:r>
            <w:r w:rsidRPr="00DE1AC7">
              <w:rPr>
                <w:rFonts w:ascii="Arial" w:hAnsi="Arial" w:cs="Arial"/>
                <w:bCs/>
                <w:sz w:val="22"/>
                <w:szCs w:val="22"/>
              </w:rPr>
              <w:t xml:space="preserve">of Te Waipounamu </w:t>
            </w:r>
            <w:r w:rsidRPr="00307E2A">
              <w:rPr>
                <w:rFonts w:ascii="Arial" w:hAnsi="Arial" w:cs="Arial"/>
                <w:bCs/>
                <w:sz w:val="22"/>
                <w:szCs w:val="22"/>
              </w:rPr>
              <w:t xml:space="preserve">are applying mātauranga Māori and mahinga kai principles to </w:t>
            </w:r>
            <w:r w:rsidR="00EC409B" w:rsidRPr="00DE1AC7">
              <w:rPr>
                <w:rFonts w:ascii="Arial" w:hAnsi="Arial" w:cs="Arial"/>
                <w:bCs/>
                <w:sz w:val="22"/>
                <w:szCs w:val="22"/>
              </w:rPr>
              <w:t xml:space="preserve">manage </w:t>
            </w:r>
            <w:r w:rsidRPr="00307E2A">
              <w:rPr>
                <w:rFonts w:ascii="Arial" w:hAnsi="Arial" w:cs="Arial"/>
                <w:bCs/>
                <w:sz w:val="22"/>
                <w:szCs w:val="22"/>
              </w:rPr>
              <w:t xml:space="preserve">floodplain </w:t>
            </w:r>
            <w:r w:rsidR="00EC409B" w:rsidRPr="00DE1AC7">
              <w:rPr>
                <w:rFonts w:ascii="Arial" w:hAnsi="Arial" w:cs="Arial"/>
                <w:bCs/>
                <w:sz w:val="22"/>
                <w:szCs w:val="22"/>
              </w:rPr>
              <w:t>water quality issues</w:t>
            </w:r>
            <w:r w:rsidRPr="00307E2A">
              <w:rPr>
                <w:rFonts w:ascii="Arial" w:hAnsi="Arial" w:cs="Arial"/>
                <w:bCs/>
                <w:sz w:val="22"/>
                <w:szCs w:val="22"/>
              </w:rPr>
              <w:t>. By utilizing a culturally led, science-informed design approach, these initiatives aim to restore ecological balance, enhance food sovereignty, and strengthen iwi</w:t>
            </w:r>
            <w:r w:rsidR="00EC409B" w:rsidRPr="00DE1AC7">
              <w:rPr>
                <w:rFonts w:ascii="Arial" w:hAnsi="Arial" w:cs="Arial"/>
                <w:bCs/>
                <w:sz w:val="22"/>
                <w:szCs w:val="22"/>
              </w:rPr>
              <w:t xml:space="preserve"> and </w:t>
            </w:r>
            <w:r w:rsidRPr="00307E2A">
              <w:rPr>
                <w:rFonts w:ascii="Arial" w:hAnsi="Arial" w:cs="Arial"/>
                <w:bCs/>
                <w:sz w:val="22"/>
                <w:szCs w:val="22"/>
              </w:rPr>
              <w:t xml:space="preserve">hapū resilience to climate-induced flooding. We will highlight practical applications of traditional knowledge in contemporary environmental planning and examine the challenges of navigating legislative and policy frameworks that often overlook </w:t>
            </w:r>
            <w:r w:rsidR="00EC409B" w:rsidRPr="00DE1AC7">
              <w:rPr>
                <w:rFonts w:ascii="Arial" w:hAnsi="Arial" w:cs="Arial"/>
                <w:bCs/>
                <w:sz w:val="22"/>
                <w:szCs w:val="22"/>
              </w:rPr>
              <w:t>i</w:t>
            </w:r>
            <w:r w:rsidRPr="00307E2A">
              <w:rPr>
                <w:rFonts w:ascii="Arial" w:hAnsi="Arial" w:cs="Arial"/>
                <w:bCs/>
                <w:sz w:val="22"/>
                <w:szCs w:val="22"/>
              </w:rPr>
              <w:t>ndigenous worldviews.</w:t>
            </w:r>
          </w:p>
          <w:p w14:paraId="7DF7D437" w14:textId="77777777" w:rsidR="0065012F" w:rsidRDefault="0065012F" w:rsidP="00706DED">
            <w:pPr>
              <w:jc w:val="both"/>
              <w:rPr>
                <w:rFonts w:ascii="Arial" w:hAnsi="Arial" w:cs="Arial"/>
                <w:b/>
                <w:sz w:val="22"/>
                <w:szCs w:val="22"/>
              </w:rPr>
            </w:pPr>
          </w:p>
          <w:p w14:paraId="457D2D05" w14:textId="5F43056F"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r w:rsidR="00F56A67">
              <w:rPr>
                <w:rFonts w:ascii="Arial" w:hAnsi="Arial" w:cs="Arial"/>
                <w:b/>
                <w:sz w:val="22"/>
                <w:szCs w:val="22"/>
              </w:rPr>
              <w:t>:</w:t>
            </w:r>
          </w:p>
          <w:p w14:paraId="015EFC6C" w14:textId="60AD4E7A" w:rsidR="0065012F" w:rsidRDefault="00DE1AC7" w:rsidP="00DE1AC7">
            <w:pPr>
              <w:rPr>
                <w:rFonts w:ascii="Arial" w:hAnsi="Arial" w:cs="Arial"/>
                <w:bCs/>
                <w:sz w:val="22"/>
                <w:szCs w:val="22"/>
                <w:lang w:val="en-CA"/>
              </w:rPr>
            </w:pPr>
            <w:r w:rsidRPr="002F6219">
              <w:rPr>
                <w:rFonts w:ascii="Arial" w:hAnsi="Arial" w:cs="Arial"/>
                <w:bCs/>
                <w:sz w:val="22"/>
                <w:szCs w:val="22"/>
                <w:lang w:val="en-CA"/>
              </w:rPr>
              <w:t xml:space="preserve">Using kaupapa Māori engagement methods, we have worked alongside Arowhenua kaumātua, kaitiaki, and whānau to document and analyze </w:t>
            </w:r>
            <w:r w:rsidR="002F6219" w:rsidRPr="002F6219">
              <w:rPr>
                <w:rFonts w:ascii="Arial" w:hAnsi="Arial" w:cs="Arial"/>
                <w:bCs/>
                <w:sz w:val="22"/>
                <w:szCs w:val="22"/>
                <w:lang w:val="en-CA"/>
              </w:rPr>
              <w:t xml:space="preserve">a </w:t>
            </w:r>
            <w:r w:rsidRPr="002F6219">
              <w:rPr>
                <w:rFonts w:ascii="Arial" w:hAnsi="Arial" w:cs="Arial"/>
                <w:bCs/>
                <w:sz w:val="22"/>
                <w:szCs w:val="22"/>
                <w:lang w:val="en-CA"/>
              </w:rPr>
              <w:t>mātauranga Māori-led floodplain restoration strateg</w:t>
            </w:r>
            <w:r w:rsidR="002F6219" w:rsidRPr="002F6219">
              <w:rPr>
                <w:rFonts w:ascii="Arial" w:hAnsi="Arial" w:cs="Arial"/>
                <w:bCs/>
                <w:sz w:val="22"/>
                <w:szCs w:val="22"/>
                <w:lang w:val="en-CA"/>
              </w:rPr>
              <w:t>y</w:t>
            </w:r>
            <w:r w:rsidRPr="002F6219">
              <w:rPr>
                <w:rFonts w:ascii="Arial" w:hAnsi="Arial" w:cs="Arial"/>
                <w:bCs/>
                <w:sz w:val="22"/>
                <w:szCs w:val="22"/>
                <w:lang w:val="en-CA"/>
              </w:rPr>
              <w:t>. This includes wānanga</w:t>
            </w:r>
            <w:r w:rsidR="002F6219" w:rsidRPr="002F6219">
              <w:rPr>
                <w:rFonts w:ascii="Arial" w:hAnsi="Arial" w:cs="Arial"/>
                <w:bCs/>
                <w:sz w:val="22"/>
                <w:szCs w:val="22"/>
                <w:lang w:val="en-CA"/>
              </w:rPr>
              <w:t xml:space="preserve">, </w:t>
            </w:r>
            <w:r w:rsidRPr="002F6219">
              <w:rPr>
                <w:rFonts w:ascii="Arial" w:hAnsi="Arial" w:cs="Arial"/>
                <w:bCs/>
                <w:sz w:val="22"/>
                <w:szCs w:val="22"/>
                <w:lang w:val="en-CA"/>
              </w:rPr>
              <w:t xml:space="preserve">participatory ecological monitoring, and </w:t>
            </w:r>
            <w:r w:rsidR="002F6219" w:rsidRPr="002F6219">
              <w:rPr>
                <w:rFonts w:ascii="Arial" w:hAnsi="Arial" w:cs="Arial"/>
                <w:bCs/>
                <w:sz w:val="22"/>
                <w:szCs w:val="22"/>
                <w:lang w:val="en-CA"/>
              </w:rPr>
              <w:t xml:space="preserve">a </w:t>
            </w:r>
            <w:r w:rsidRPr="002F6219">
              <w:rPr>
                <w:rFonts w:ascii="Arial" w:hAnsi="Arial" w:cs="Arial"/>
                <w:bCs/>
                <w:sz w:val="22"/>
                <w:szCs w:val="22"/>
                <w:lang w:val="en-CA"/>
              </w:rPr>
              <w:t>co-design process that bridge</w:t>
            </w:r>
            <w:r w:rsidR="002F6219" w:rsidRPr="002F6219">
              <w:rPr>
                <w:rFonts w:ascii="Arial" w:hAnsi="Arial" w:cs="Arial"/>
                <w:bCs/>
                <w:sz w:val="22"/>
                <w:szCs w:val="22"/>
                <w:lang w:val="en-CA"/>
              </w:rPr>
              <w:t>s</w:t>
            </w:r>
            <w:r w:rsidRPr="002F6219">
              <w:rPr>
                <w:rFonts w:ascii="Arial" w:hAnsi="Arial" w:cs="Arial"/>
                <w:bCs/>
                <w:sz w:val="22"/>
                <w:szCs w:val="22"/>
                <w:lang w:val="en-CA"/>
              </w:rPr>
              <w:t xml:space="preserve"> mātauranga Māori with contemporary hydrological and ecological science. </w:t>
            </w:r>
            <w:r w:rsidR="002F6219" w:rsidRPr="002F6219">
              <w:rPr>
                <w:rFonts w:ascii="Arial" w:hAnsi="Arial" w:cs="Arial"/>
                <w:bCs/>
                <w:sz w:val="22"/>
                <w:szCs w:val="22"/>
                <w:lang w:val="en-CA"/>
              </w:rPr>
              <w:t>Our other c</w:t>
            </w:r>
            <w:r w:rsidRPr="002F6219">
              <w:rPr>
                <w:rFonts w:ascii="Arial" w:hAnsi="Arial" w:cs="Arial"/>
                <w:bCs/>
                <w:sz w:val="22"/>
                <w:szCs w:val="22"/>
                <w:lang w:val="en-CA"/>
              </w:rPr>
              <w:t xml:space="preserve">ase studies illustrate </w:t>
            </w:r>
            <w:r w:rsidR="002F6219" w:rsidRPr="002F6219">
              <w:rPr>
                <w:rFonts w:ascii="Arial" w:hAnsi="Arial" w:cs="Arial"/>
                <w:bCs/>
                <w:sz w:val="22"/>
                <w:szCs w:val="22"/>
                <w:lang w:val="en-CA"/>
              </w:rPr>
              <w:t>how</w:t>
            </w:r>
            <w:r w:rsidRPr="002F6219">
              <w:rPr>
                <w:rFonts w:ascii="Arial" w:hAnsi="Arial" w:cs="Arial"/>
                <w:bCs/>
                <w:sz w:val="22"/>
                <w:szCs w:val="22"/>
                <w:lang w:val="en-CA"/>
              </w:rPr>
              <w:t xml:space="preserve"> integrati</w:t>
            </w:r>
            <w:r w:rsidR="002F6219" w:rsidRPr="002F6219">
              <w:rPr>
                <w:rFonts w:ascii="Arial" w:hAnsi="Arial" w:cs="Arial"/>
                <w:bCs/>
                <w:sz w:val="22"/>
                <w:szCs w:val="22"/>
                <w:lang w:val="en-CA"/>
              </w:rPr>
              <w:t>ng</w:t>
            </w:r>
            <w:r w:rsidRPr="002F6219">
              <w:rPr>
                <w:rFonts w:ascii="Arial" w:hAnsi="Arial" w:cs="Arial"/>
                <w:bCs/>
                <w:sz w:val="22"/>
                <w:szCs w:val="22"/>
                <w:lang w:val="en-CA"/>
              </w:rPr>
              <w:t xml:space="preserve"> </w:t>
            </w:r>
            <w:r w:rsidR="002F6219" w:rsidRPr="002F6219">
              <w:rPr>
                <w:rFonts w:ascii="Arial" w:hAnsi="Arial" w:cs="Arial"/>
                <w:bCs/>
                <w:sz w:val="22"/>
                <w:szCs w:val="22"/>
                <w:lang w:val="en-CA"/>
              </w:rPr>
              <w:t>i</w:t>
            </w:r>
            <w:r w:rsidRPr="002F6219">
              <w:rPr>
                <w:rFonts w:ascii="Arial" w:hAnsi="Arial" w:cs="Arial"/>
                <w:bCs/>
                <w:sz w:val="22"/>
                <w:szCs w:val="22"/>
                <w:lang w:val="en-CA"/>
              </w:rPr>
              <w:t>ndigenous values into landscape design and waterway restoration efforts ensur</w:t>
            </w:r>
            <w:r w:rsidR="002F6219" w:rsidRPr="002F6219">
              <w:rPr>
                <w:rFonts w:ascii="Arial" w:hAnsi="Arial" w:cs="Arial"/>
                <w:bCs/>
                <w:sz w:val="22"/>
                <w:szCs w:val="22"/>
                <w:lang w:val="en-CA"/>
              </w:rPr>
              <w:t>es a</w:t>
            </w:r>
            <w:r w:rsidRPr="002F6219">
              <w:rPr>
                <w:rFonts w:ascii="Arial" w:hAnsi="Arial" w:cs="Arial"/>
                <w:bCs/>
                <w:sz w:val="22"/>
                <w:szCs w:val="22"/>
                <w:lang w:val="en-CA"/>
              </w:rPr>
              <w:t xml:space="preserve"> solution align</w:t>
            </w:r>
            <w:r w:rsidR="002F6219" w:rsidRPr="002F6219">
              <w:rPr>
                <w:rFonts w:ascii="Arial" w:hAnsi="Arial" w:cs="Arial"/>
                <w:bCs/>
                <w:sz w:val="22"/>
                <w:szCs w:val="22"/>
                <w:lang w:val="en-CA"/>
              </w:rPr>
              <w:t>s</w:t>
            </w:r>
            <w:r w:rsidRPr="002F6219">
              <w:rPr>
                <w:rFonts w:ascii="Arial" w:hAnsi="Arial" w:cs="Arial"/>
                <w:bCs/>
                <w:sz w:val="22"/>
                <w:szCs w:val="22"/>
                <w:lang w:val="en-CA"/>
              </w:rPr>
              <w:t xml:space="preserve"> with the needs and aspirations of tangata whenua</w:t>
            </w:r>
            <w:r w:rsidR="002F6219" w:rsidRPr="002F6219">
              <w:rPr>
                <w:rFonts w:ascii="Arial" w:hAnsi="Arial" w:cs="Arial"/>
                <w:bCs/>
                <w:sz w:val="22"/>
                <w:szCs w:val="22"/>
                <w:lang w:val="en-CA"/>
              </w:rPr>
              <w:t>, and the wider community</w:t>
            </w:r>
            <w:r w:rsidRPr="002F6219">
              <w:rPr>
                <w:rFonts w:ascii="Arial" w:hAnsi="Arial" w:cs="Arial"/>
                <w:bCs/>
                <w:sz w:val="22"/>
                <w:szCs w:val="22"/>
                <w:lang w:val="en-CA"/>
              </w:rPr>
              <w:t>.</w:t>
            </w:r>
          </w:p>
          <w:p w14:paraId="1BF157B2" w14:textId="77777777" w:rsidR="00DE1AC7" w:rsidRDefault="00DE1AC7" w:rsidP="00706DED">
            <w:pPr>
              <w:jc w:val="both"/>
              <w:rPr>
                <w:rFonts w:ascii="Arial" w:hAnsi="Arial" w:cs="Arial"/>
                <w:b/>
                <w:sz w:val="22"/>
                <w:szCs w:val="22"/>
              </w:rPr>
            </w:pPr>
          </w:p>
          <w:p w14:paraId="62DAA8AE" w14:textId="740FA41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r w:rsidR="00F56A67">
              <w:rPr>
                <w:rFonts w:ascii="Arial" w:hAnsi="Arial" w:cs="Arial"/>
                <w:b/>
                <w:sz w:val="22"/>
                <w:szCs w:val="22"/>
              </w:rPr>
              <w:t>:</w:t>
            </w:r>
          </w:p>
          <w:p w14:paraId="44E40505" w14:textId="327456CB" w:rsidR="002F6219" w:rsidRPr="002F6219" w:rsidRDefault="002F6219" w:rsidP="002F6219">
            <w:pPr>
              <w:rPr>
                <w:rFonts w:ascii="Arial" w:hAnsi="Arial" w:cs="Arial"/>
                <w:bCs/>
                <w:sz w:val="22"/>
                <w:szCs w:val="22"/>
              </w:rPr>
            </w:pPr>
            <w:r w:rsidRPr="002F6219">
              <w:rPr>
                <w:rFonts w:ascii="Arial" w:hAnsi="Arial" w:cs="Arial"/>
                <w:bCs/>
                <w:sz w:val="22"/>
                <w:szCs w:val="22"/>
              </w:rPr>
              <w:t xml:space="preserve">Our </w:t>
            </w:r>
            <w:r>
              <w:rPr>
                <w:rFonts w:ascii="Arial" w:hAnsi="Arial" w:cs="Arial"/>
                <w:bCs/>
                <w:sz w:val="22"/>
                <w:szCs w:val="22"/>
              </w:rPr>
              <w:t xml:space="preserve">experience will highlight how </w:t>
            </w:r>
            <w:r w:rsidRPr="002F6219">
              <w:rPr>
                <w:rFonts w:ascii="Arial" w:hAnsi="Arial" w:cs="Arial"/>
                <w:bCs/>
                <w:sz w:val="22"/>
                <w:szCs w:val="22"/>
              </w:rPr>
              <w:t xml:space="preserve">reinstating </w:t>
            </w:r>
            <w:r>
              <w:rPr>
                <w:rFonts w:ascii="Arial" w:hAnsi="Arial" w:cs="Arial"/>
                <w:bCs/>
                <w:sz w:val="22"/>
                <w:szCs w:val="22"/>
              </w:rPr>
              <w:t xml:space="preserve">lost or degraded </w:t>
            </w:r>
            <w:r w:rsidRPr="002F6219">
              <w:rPr>
                <w:rFonts w:ascii="Arial" w:hAnsi="Arial" w:cs="Arial"/>
                <w:bCs/>
                <w:sz w:val="22"/>
                <w:szCs w:val="22"/>
              </w:rPr>
              <w:t>mahinga kai values at the heart of floodplain management</w:t>
            </w:r>
            <w:r>
              <w:rPr>
                <w:rFonts w:ascii="Arial" w:hAnsi="Arial" w:cs="Arial"/>
                <w:bCs/>
                <w:sz w:val="22"/>
                <w:szCs w:val="22"/>
              </w:rPr>
              <w:t xml:space="preserve"> results in</w:t>
            </w:r>
            <w:r w:rsidRPr="002F6219">
              <w:rPr>
                <w:rFonts w:ascii="Arial" w:hAnsi="Arial" w:cs="Arial"/>
                <w:bCs/>
                <w:sz w:val="22"/>
                <w:szCs w:val="22"/>
              </w:rPr>
              <w:t xml:space="preserve"> communities achiev</w:t>
            </w:r>
            <w:r>
              <w:rPr>
                <w:rFonts w:ascii="Arial" w:hAnsi="Arial" w:cs="Arial"/>
                <w:bCs/>
                <w:sz w:val="22"/>
                <w:szCs w:val="22"/>
              </w:rPr>
              <w:t xml:space="preserve">ing </w:t>
            </w:r>
            <w:r w:rsidRPr="002F6219">
              <w:rPr>
                <w:rFonts w:ascii="Arial" w:hAnsi="Arial" w:cs="Arial"/>
                <w:bCs/>
                <w:sz w:val="22"/>
                <w:szCs w:val="22"/>
              </w:rPr>
              <w:t>co-benefit</w:t>
            </w:r>
            <w:r>
              <w:rPr>
                <w:rFonts w:ascii="Arial" w:hAnsi="Arial" w:cs="Arial"/>
                <w:bCs/>
                <w:sz w:val="22"/>
                <w:szCs w:val="22"/>
              </w:rPr>
              <w:t xml:space="preserve">s – </w:t>
            </w:r>
            <w:r w:rsidRPr="002F6219">
              <w:rPr>
                <w:rFonts w:ascii="Arial" w:hAnsi="Arial" w:cs="Arial"/>
                <w:bCs/>
                <w:sz w:val="22"/>
                <w:szCs w:val="22"/>
              </w:rPr>
              <w:t xml:space="preserve">restoring habitat for taonga </w:t>
            </w:r>
            <w:r>
              <w:rPr>
                <w:rFonts w:ascii="Arial" w:hAnsi="Arial" w:cs="Arial"/>
                <w:bCs/>
                <w:sz w:val="22"/>
                <w:szCs w:val="22"/>
              </w:rPr>
              <w:t xml:space="preserve">and mahinga kai </w:t>
            </w:r>
            <w:r w:rsidRPr="002F6219">
              <w:rPr>
                <w:rFonts w:ascii="Arial" w:hAnsi="Arial" w:cs="Arial"/>
                <w:bCs/>
                <w:sz w:val="22"/>
                <w:szCs w:val="22"/>
              </w:rPr>
              <w:t>species, improving water quality, and enhancing climate resilience while reaffirming kaitiakitanga</w:t>
            </w:r>
            <w:r>
              <w:rPr>
                <w:rFonts w:ascii="Arial" w:hAnsi="Arial" w:cs="Arial"/>
                <w:bCs/>
                <w:sz w:val="22"/>
                <w:szCs w:val="22"/>
              </w:rPr>
              <w:t xml:space="preserve"> and rangatiratanga </w:t>
            </w:r>
            <w:r w:rsidRPr="002F6219">
              <w:rPr>
                <w:rFonts w:ascii="Arial" w:hAnsi="Arial" w:cs="Arial"/>
                <w:bCs/>
                <w:sz w:val="22"/>
                <w:szCs w:val="22"/>
              </w:rPr>
              <w:t xml:space="preserve">responsibilities. </w:t>
            </w:r>
            <w:r>
              <w:rPr>
                <w:rFonts w:ascii="Arial" w:hAnsi="Arial" w:cs="Arial"/>
                <w:bCs/>
                <w:sz w:val="22"/>
                <w:szCs w:val="22"/>
              </w:rPr>
              <w:t>F</w:t>
            </w:r>
            <w:r w:rsidRPr="002F6219">
              <w:rPr>
                <w:rFonts w:ascii="Arial" w:hAnsi="Arial" w:cs="Arial"/>
                <w:bCs/>
                <w:sz w:val="22"/>
                <w:szCs w:val="22"/>
              </w:rPr>
              <w:t xml:space="preserve">indings show that successful adaptation requires recognizing the authority of tangata whenua in environmental governance, fostering genuine partnerships with government agencies, and addressing structural inequities that limit </w:t>
            </w:r>
            <w:r>
              <w:rPr>
                <w:rFonts w:ascii="Arial" w:hAnsi="Arial" w:cs="Arial"/>
                <w:bCs/>
                <w:sz w:val="22"/>
                <w:szCs w:val="22"/>
              </w:rPr>
              <w:t>i</w:t>
            </w:r>
            <w:r w:rsidRPr="002F6219">
              <w:rPr>
                <w:rFonts w:ascii="Arial" w:hAnsi="Arial" w:cs="Arial"/>
                <w:bCs/>
                <w:sz w:val="22"/>
                <w:szCs w:val="22"/>
              </w:rPr>
              <w:t>ndigenous-led innovation. Key case studies reveal both the opportunities and challenges in operationalizing mātauranga Māori within existing regulatory frameworks.</w:t>
            </w:r>
          </w:p>
          <w:p w14:paraId="26DC99F1" w14:textId="77777777" w:rsidR="0065012F" w:rsidRDefault="0065012F" w:rsidP="00706DED">
            <w:pPr>
              <w:jc w:val="both"/>
              <w:rPr>
                <w:rFonts w:ascii="Arial" w:hAnsi="Arial" w:cs="Arial"/>
                <w:b/>
                <w:sz w:val="22"/>
                <w:szCs w:val="22"/>
              </w:rPr>
            </w:pPr>
          </w:p>
          <w:p w14:paraId="261EC656" w14:textId="72A75E06" w:rsidR="00C8423A" w:rsidRDefault="0065012F" w:rsidP="00706DED">
            <w:pPr>
              <w:jc w:val="both"/>
              <w:rPr>
                <w:rFonts w:ascii="Arial" w:hAnsi="Arial" w:cs="Arial"/>
                <w:b/>
                <w:sz w:val="22"/>
                <w:szCs w:val="22"/>
              </w:rPr>
            </w:pPr>
            <w:r>
              <w:rPr>
                <w:rFonts w:ascii="Arial" w:hAnsi="Arial" w:cs="Arial"/>
                <w:b/>
                <w:sz w:val="22"/>
                <w:szCs w:val="22"/>
              </w:rPr>
              <w:lastRenderedPageBreak/>
              <w:t>S</w:t>
            </w:r>
            <w:r w:rsidRPr="0065012F">
              <w:rPr>
                <w:rFonts w:ascii="Arial" w:hAnsi="Arial" w:cs="Arial"/>
                <w:b/>
                <w:sz w:val="22"/>
                <w:szCs w:val="22"/>
              </w:rPr>
              <w:t>ignificance of the work for policy and practice</w:t>
            </w:r>
            <w:r w:rsidR="00F56A67">
              <w:rPr>
                <w:rFonts w:ascii="Arial" w:hAnsi="Arial" w:cs="Arial"/>
                <w:b/>
                <w:sz w:val="22"/>
                <w:szCs w:val="22"/>
              </w:rPr>
              <w:t>:</w:t>
            </w:r>
            <w:r w:rsidRPr="0065012F">
              <w:rPr>
                <w:rFonts w:ascii="Arial" w:hAnsi="Arial" w:cs="Arial"/>
                <w:b/>
                <w:sz w:val="22"/>
                <w:szCs w:val="22"/>
              </w:rPr>
              <w:t xml:space="preserve"> </w:t>
            </w:r>
          </w:p>
          <w:p w14:paraId="4D7B65A8" w14:textId="599761D3" w:rsidR="00BE58D6" w:rsidRDefault="002F6219" w:rsidP="002F6219">
            <w:pPr>
              <w:rPr>
                <w:rFonts w:ascii="Arial" w:hAnsi="Arial" w:cs="Arial"/>
                <w:bCs/>
                <w:sz w:val="22"/>
                <w:szCs w:val="22"/>
                <w:lang w:val="en-CA"/>
              </w:rPr>
            </w:pPr>
            <w:r w:rsidRPr="002F6219">
              <w:rPr>
                <w:rFonts w:ascii="Arial" w:hAnsi="Arial" w:cs="Arial"/>
                <w:bCs/>
                <w:sz w:val="22"/>
                <w:szCs w:val="22"/>
                <w:lang w:val="en-CA"/>
              </w:rPr>
              <w:t>The integration of mātauranga Māori into climate adaptation is essential for a sustainable and equitable environmental future in Aotearoa. This presentation will touch on the need for systemic policy shifts that enable rangatiratanga in environmental decision-making, ensuring Māori-led solutions are considered in climate resilience planning. By recognizing and supporting co-governance structures, policymakers and practitioners can foster a more holistic, inclusive, and effective approach to managing Aotearoa’s natural resources.</w:t>
            </w:r>
          </w:p>
          <w:p w14:paraId="2CBAECD6" w14:textId="14DC1E69" w:rsidR="00307E2A" w:rsidRPr="000D7047" w:rsidRDefault="00307E2A" w:rsidP="00277581">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B48E9"/>
    <w:rsid w:val="00247C60"/>
    <w:rsid w:val="00256963"/>
    <w:rsid w:val="00277581"/>
    <w:rsid w:val="002E3AA3"/>
    <w:rsid w:val="002F6219"/>
    <w:rsid w:val="00307E2A"/>
    <w:rsid w:val="00317356"/>
    <w:rsid w:val="0034503D"/>
    <w:rsid w:val="00350560"/>
    <w:rsid w:val="00354C31"/>
    <w:rsid w:val="00375B20"/>
    <w:rsid w:val="00386D01"/>
    <w:rsid w:val="004049E7"/>
    <w:rsid w:val="00462B90"/>
    <w:rsid w:val="004828A0"/>
    <w:rsid w:val="004B69C7"/>
    <w:rsid w:val="004D193B"/>
    <w:rsid w:val="004F4CE8"/>
    <w:rsid w:val="004F5C81"/>
    <w:rsid w:val="0053222C"/>
    <w:rsid w:val="005469BD"/>
    <w:rsid w:val="00550B17"/>
    <w:rsid w:val="005854B8"/>
    <w:rsid w:val="005F3F6E"/>
    <w:rsid w:val="0065012F"/>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16809"/>
    <w:rsid w:val="00B026E8"/>
    <w:rsid w:val="00BA0872"/>
    <w:rsid w:val="00BA26BB"/>
    <w:rsid w:val="00BC6810"/>
    <w:rsid w:val="00BE0B4D"/>
    <w:rsid w:val="00BE58D6"/>
    <w:rsid w:val="00C26081"/>
    <w:rsid w:val="00C4126D"/>
    <w:rsid w:val="00C76C99"/>
    <w:rsid w:val="00C8423A"/>
    <w:rsid w:val="00CE53FE"/>
    <w:rsid w:val="00D716AD"/>
    <w:rsid w:val="00D923B4"/>
    <w:rsid w:val="00DB7929"/>
    <w:rsid w:val="00DD1BB3"/>
    <w:rsid w:val="00DE1AC7"/>
    <w:rsid w:val="00E612FF"/>
    <w:rsid w:val="00EB1B31"/>
    <w:rsid w:val="00EC409B"/>
    <w:rsid w:val="00F56A67"/>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4812">
      <w:bodyDiv w:val="1"/>
      <w:marLeft w:val="0"/>
      <w:marRight w:val="0"/>
      <w:marTop w:val="0"/>
      <w:marBottom w:val="0"/>
      <w:divBdr>
        <w:top w:val="none" w:sz="0" w:space="0" w:color="auto"/>
        <w:left w:val="none" w:sz="0" w:space="0" w:color="auto"/>
        <w:bottom w:val="none" w:sz="0" w:space="0" w:color="auto"/>
        <w:right w:val="none" w:sz="0" w:space="0" w:color="auto"/>
      </w:divBdr>
    </w:div>
    <w:div w:id="328676290">
      <w:bodyDiv w:val="1"/>
      <w:marLeft w:val="0"/>
      <w:marRight w:val="0"/>
      <w:marTop w:val="0"/>
      <w:marBottom w:val="0"/>
      <w:divBdr>
        <w:top w:val="none" w:sz="0" w:space="0" w:color="auto"/>
        <w:left w:val="none" w:sz="0" w:space="0" w:color="auto"/>
        <w:bottom w:val="none" w:sz="0" w:space="0" w:color="auto"/>
        <w:right w:val="none" w:sz="0" w:space="0" w:color="auto"/>
      </w:divBdr>
    </w:div>
    <w:div w:id="681738002">
      <w:bodyDiv w:val="1"/>
      <w:marLeft w:val="0"/>
      <w:marRight w:val="0"/>
      <w:marTop w:val="0"/>
      <w:marBottom w:val="0"/>
      <w:divBdr>
        <w:top w:val="none" w:sz="0" w:space="0" w:color="auto"/>
        <w:left w:val="none" w:sz="0" w:space="0" w:color="auto"/>
        <w:bottom w:val="none" w:sz="0" w:space="0" w:color="auto"/>
        <w:right w:val="none" w:sz="0" w:space="0" w:color="auto"/>
      </w:divBdr>
    </w:div>
    <w:div w:id="694035144">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88033210">
      <w:bodyDiv w:val="1"/>
      <w:marLeft w:val="0"/>
      <w:marRight w:val="0"/>
      <w:marTop w:val="0"/>
      <w:marBottom w:val="0"/>
      <w:divBdr>
        <w:top w:val="none" w:sz="0" w:space="0" w:color="auto"/>
        <w:left w:val="none" w:sz="0" w:space="0" w:color="auto"/>
        <w:bottom w:val="none" w:sz="0" w:space="0" w:color="auto"/>
        <w:right w:val="none" w:sz="0" w:space="0" w:color="auto"/>
      </w:divBdr>
    </w:div>
    <w:div w:id="1419711700">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purl.org/dc/terms/"/>
    <ds:schemaRef ds:uri="http://schemas.openxmlformats.org/package/2006/metadata/core-properties"/>
    <ds:schemaRef ds:uri="http://www.w3.org/XML/1998/namespace"/>
    <ds:schemaRef ds:uri="cab52c9b-ab33-4221-8af9-54f8f2b86a80"/>
    <ds:schemaRef ds:uri="9c8a2b7b-0bee-4c48-b0a6-23db8982d3bc"/>
    <ds:schemaRef ds:uri="http://schemas.microsoft.com/office/2006/documentManagement/types"/>
    <ds:schemaRef ds:uri="6911e96c-4cc4-42d5-8e43-f93924cf6a05"/>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0D741102-E5B6-40AA-867B-55CED9777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2926</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2025-02-27T22:25:00Z</dcterms:created>
  <dcterms:modified xsi:type="dcterms:W3CDTF">2025-08-11T23:07:00Z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